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EB09A" w14:textId="6BDF3680" w:rsidR="00525D98" w:rsidRPr="00D45B02" w:rsidRDefault="000F0E42" w:rsidP="00525D98">
      <w:pPr>
        <w:jc w:val="center"/>
        <w:rPr>
          <w:rFonts w:ascii="Arial" w:hAnsi="Arial" w:cs="Arial"/>
          <w:b/>
          <w:sz w:val="36"/>
          <w:szCs w:val="36"/>
        </w:rPr>
      </w:pPr>
      <w:r>
        <w:rPr>
          <w:rFonts w:ascii="Arial" w:hAnsi="Arial" w:cs="Arial"/>
          <w:b/>
          <w:noProof/>
          <w:sz w:val="36"/>
          <w:szCs w:val="36"/>
          <w:lang w:eastAsia="en-GB"/>
        </w:rPr>
        <w:drawing>
          <wp:anchor distT="0" distB="0" distL="114300" distR="114300" simplePos="0" relativeHeight="251657728" behindDoc="1" locked="0" layoutInCell="1" allowOverlap="1" wp14:anchorId="09362E72" wp14:editId="7EA08DCC">
            <wp:simplePos x="0" y="0"/>
            <wp:positionH relativeFrom="column">
              <wp:posOffset>4905375</wp:posOffset>
            </wp:positionH>
            <wp:positionV relativeFrom="paragraph">
              <wp:posOffset>-752475</wp:posOffset>
            </wp:positionV>
            <wp:extent cx="1419225" cy="904875"/>
            <wp:effectExtent l="0" t="0" r="9525" b="9525"/>
            <wp:wrapNone/>
            <wp:docPr id="2" name="Picture 7" descr="BM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4DC">
        <w:rPr>
          <w:rFonts w:ascii="Arial" w:hAnsi="Arial" w:cs="Arial"/>
          <w:b/>
          <w:sz w:val="36"/>
          <w:szCs w:val="36"/>
        </w:rPr>
        <w:t>Consultation Response Pro</w:t>
      </w:r>
      <w:r w:rsidR="008B20DC">
        <w:rPr>
          <w:rFonts w:ascii="Arial" w:hAnsi="Arial" w:cs="Arial"/>
          <w:b/>
          <w:sz w:val="36"/>
          <w:szCs w:val="36"/>
        </w:rPr>
        <w:t xml:space="preserve"> </w:t>
      </w:r>
      <w:r w:rsidR="004234DC">
        <w:rPr>
          <w:rFonts w:ascii="Arial" w:hAnsi="Arial" w:cs="Arial"/>
          <w:b/>
          <w:sz w:val="36"/>
          <w:szCs w:val="36"/>
        </w:rPr>
        <w:t>f</w:t>
      </w:r>
      <w:r w:rsidR="00525D98" w:rsidRPr="00D45B02">
        <w:rPr>
          <w:rFonts w:ascii="Arial" w:hAnsi="Arial" w:cs="Arial"/>
          <w:b/>
          <w:sz w:val="36"/>
          <w:szCs w:val="36"/>
        </w:rPr>
        <w:t>o</w:t>
      </w:r>
      <w:r w:rsidR="004234DC">
        <w:rPr>
          <w:rFonts w:ascii="Arial" w:hAnsi="Arial" w:cs="Arial"/>
          <w:b/>
          <w:sz w:val="36"/>
          <w:szCs w:val="36"/>
        </w:rPr>
        <w:t>r</w:t>
      </w:r>
      <w:r w:rsidR="00525D98" w:rsidRPr="00D45B02">
        <w:rPr>
          <w:rFonts w:ascii="Arial" w:hAnsi="Arial" w:cs="Arial"/>
          <w:b/>
          <w:sz w:val="36"/>
          <w:szCs w:val="36"/>
        </w:rPr>
        <w:t xml:space="preserve">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2928"/>
        <w:gridCol w:w="3032"/>
        <w:gridCol w:w="2667"/>
      </w:tblGrid>
      <w:tr w:rsidR="00525D98" w:rsidRPr="009205BB" w14:paraId="31EB8609" w14:textId="77777777" w:rsidTr="009205BB">
        <w:tc>
          <w:tcPr>
            <w:tcW w:w="392" w:type="dxa"/>
          </w:tcPr>
          <w:p w14:paraId="6E69AFDA"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1</w:t>
            </w:r>
          </w:p>
        </w:tc>
        <w:tc>
          <w:tcPr>
            <w:tcW w:w="2977" w:type="dxa"/>
          </w:tcPr>
          <w:p w14:paraId="678C28F8"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 xml:space="preserve">Application Number </w:t>
            </w:r>
          </w:p>
          <w:p w14:paraId="070C9CB8" w14:textId="77777777" w:rsidR="00525D98" w:rsidRPr="009205BB" w:rsidRDefault="00525D98" w:rsidP="009205BB">
            <w:pPr>
              <w:spacing w:after="0" w:line="240" w:lineRule="auto"/>
              <w:jc w:val="both"/>
              <w:rPr>
                <w:rFonts w:ascii="Arial" w:hAnsi="Arial" w:cs="Arial"/>
                <w:b/>
              </w:rPr>
            </w:pPr>
          </w:p>
        </w:tc>
        <w:tc>
          <w:tcPr>
            <w:tcW w:w="5873" w:type="dxa"/>
            <w:gridSpan w:val="2"/>
          </w:tcPr>
          <w:p w14:paraId="09E50488" w14:textId="2F790FBD" w:rsidR="00525D98" w:rsidRPr="008409C1" w:rsidRDefault="002F67BB" w:rsidP="001159AB">
            <w:pPr>
              <w:pStyle w:val="NoSpacing"/>
              <w:jc w:val="both"/>
              <w:rPr>
                <w:rFonts w:ascii="Arial" w:hAnsi="Arial" w:cs="Arial"/>
              </w:rPr>
            </w:pPr>
            <w:r w:rsidRPr="002F67BB">
              <w:rPr>
                <w:rFonts w:ascii="Arial" w:hAnsi="Arial" w:cs="Arial"/>
              </w:rPr>
              <w:t>DC/23/05656</w:t>
            </w:r>
            <w:r>
              <w:rPr>
                <w:rFonts w:ascii="Arial" w:hAnsi="Arial" w:cs="Arial"/>
              </w:rPr>
              <w:t xml:space="preserve"> - </w:t>
            </w:r>
            <w:r w:rsidRPr="002F67BB">
              <w:rPr>
                <w:rFonts w:ascii="Arial" w:hAnsi="Arial" w:cs="Arial"/>
              </w:rPr>
              <w:t xml:space="preserve">Land </w:t>
            </w:r>
            <w:proofErr w:type="gramStart"/>
            <w:r w:rsidRPr="002F67BB">
              <w:rPr>
                <w:rFonts w:ascii="Arial" w:hAnsi="Arial" w:cs="Arial"/>
              </w:rPr>
              <w:t>At</w:t>
            </w:r>
            <w:proofErr w:type="gramEnd"/>
            <w:r w:rsidRPr="002F67BB">
              <w:rPr>
                <w:rFonts w:ascii="Arial" w:hAnsi="Arial" w:cs="Arial"/>
              </w:rPr>
              <w:t xml:space="preserve"> Grove Farm And Land East Of The Railway Line, Bentley</w:t>
            </w:r>
          </w:p>
        </w:tc>
      </w:tr>
      <w:tr w:rsidR="00525D98" w:rsidRPr="009205BB" w14:paraId="395DB7CA" w14:textId="77777777" w:rsidTr="009205BB">
        <w:tc>
          <w:tcPr>
            <w:tcW w:w="392" w:type="dxa"/>
          </w:tcPr>
          <w:p w14:paraId="3381DCB0"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2</w:t>
            </w:r>
          </w:p>
        </w:tc>
        <w:tc>
          <w:tcPr>
            <w:tcW w:w="2977" w:type="dxa"/>
          </w:tcPr>
          <w:p w14:paraId="17FC287A"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 xml:space="preserve">Date of Response </w:t>
            </w:r>
          </w:p>
          <w:p w14:paraId="3FA9904F" w14:textId="77777777" w:rsidR="00525D98" w:rsidRPr="009205BB" w:rsidRDefault="00525D98" w:rsidP="009205BB">
            <w:pPr>
              <w:spacing w:after="0" w:line="240" w:lineRule="auto"/>
              <w:jc w:val="both"/>
              <w:rPr>
                <w:rFonts w:ascii="Arial" w:hAnsi="Arial" w:cs="Arial"/>
                <w:b/>
              </w:rPr>
            </w:pPr>
          </w:p>
        </w:tc>
        <w:tc>
          <w:tcPr>
            <w:tcW w:w="5873" w:type="dxa"/>
            <w:gridSpan w:val="2"/>
          </w:tcPr>
          <w:p w14:paraId="6712052F" w14:textId="32979F0C" w:rsidR="00525D98" w:rsidRPr="009205BB" w:rsidRDefault="008C477E" w:rsidP="009205BB">
            <w:pPr>
              <w:spacing w:after="0" w:line="240" w:lineRule="auto"/>
              <w:rPr>
                <w:rFonts w:ascii="Arial" w:hAnsi="Arial" w:cs="Arial"/>
              </w:rPr>
            </w:pPr>
            <w:r>
              <w:rPr>
                <w:rFonts w:ascii="Arial" w:hAnsi="Arial" w:cs="Arial"/>
              </w:rPr>
              <w:t>9</w:t>
            </w:r>
            <w:r w:rsidRPr="008C477E">
              <w:rPr>
                <w:rFonts w:ascii="Arial" w:hAnsi="Arial" w:cs="Arial"/>
                <w:vertAlign w:val="superscript"/>
              </w:rPr>
              <w:t>th</w:t>
            </w:r>
            <w:r>
              <w:rPr>
                <w:rFonts w:ascii="Arial" w:hAnsi="Arial" w:cs="Arial"/>
              </w:rPr>
              <w:t xml:space="preserve"> August</w:t>
            </w:r>
            <w:r w:rsidR="00A56581">
              <w:rPr>
                <w:rFonts w:ascii="Arial" w:hAnsi="Arial" w:cs="Arial"/>
              </w:rPr>
              <w:t xml:space="preserve"> 2024</w:t>
            </w:r>
          </w:p>
        </w:tc>
      </w:tr>
      <w:tr w:rsidR="00525D98" w:rsidRPr="009205BB" w14:paraId="6960B008" w14:textId="77777777" w:rsidTr="00925E53">
        <w:trPr>
          <w:trHeight w:val="255"/>
        </w:trPr>
        <w:tc>
          <w:tcPr>
            <w:tcW w:w="392" w:type="dxa"/>
            <w:vMerge w:val="restart"/>
          </w:tcPr>
          <w:p w14:paraId="5B608072"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3</w:t>
            </w:r>
          </w:p>
        </w:tc>
        <w:tc>
          <w:tcPr>
            <w:tcW w:w="2977" w:type="dxa"/>
            <w:vMerge w:val="restart"/>
          </w:tcPr>
          <w:p w14:paraId="202C7ADF"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 xml:space="preserve">Responding Officer </w:t>
            </w:r>
          </w:p>
          <w:p w14:paraId="65726E3D" w14:textId="77777777" w:rsidR="00525D98" w:rsidRPr="009205BB" w:rsidRDefault="00525D98" w:rsidP="009205BB">
            <w:pPr>
              <w:spacing w:after="0" w:line="240" w:lineRule="auto"/>
              <w:jc w:val="both"/>
              <w:rPr>
                <w:rFonts w:ascii="Arial" w:hAnsi="Arial" w:cs="Arial"/>
                <w:b/>
              </w:rPr>
            </w:pPr>
          </w:p>
        </w:tc>
        <w:tc>
          <w:tcPr>
            <w:tcW w:w="3118" w:type="dxa"/>
          </w:tcPr>
          <w:p w14:paraId="71FC00F6" w14:textId="77777777" w:rsidR="00525D98" w:rsidRPr="009205BB" w:rsidRDefault="00525D98" w:rsidP="009205BB">
            <w:pPr>
              <w:spacing w:after="0" w:line="240" w:lineRule="auto"/>
              <w:jc w:val="both"/>
              <w:rPr>
                <w:rFonts w:ascii="Arial" w:hAnsi="Arial" w:cs="Arial"/>
              </w:rPr>
            </w:pPr>
            <w:r w:rsidRPr="009205BB">
              <w:rPr>
                <w:rFonts w:ascii="Arial" w:hAnsi="Arial" w:cs="Arial"/>
              </w:rPr>
              <w:t>Name:</w:t>
            </w:r>
          </w:p>
        </w:tc>
        <w:tc>
          <w:tcPr>
            <w:tcW w:w="2755" w:type="dxa"/>
          </w:tcPr>
          <w:p w14:paraId="6BBDBF4C" w14:textId="56D47D27" w:rsidR="00525D98" w:rsidRPr="009205BB" w:rsidRDefault="00141475" w:rsidP="009205BB">
            <w:pPr>
              <w:spacing w:after="0" w:line="240" w:lineRule="auto"/>
              <w:rPr>
                <w:rFonts w:ascii="Arial" w:hAnsi="Arial" w:cs="Arial"/>
              </w:rPr>
            </w:pPr>
            <w:r>
              <w:rPr>
                <w:rFonts w:ascii="Arial" w:hAnsi="Arial" w:cs="Arial"/>
              </w:rPr>
              <w:t>Lucy Birch</w:t>
            </w:r>
          </w:p>
        </w:tc>
      </w:tr>
      <w:tr w:rsidR="00525D98" w:rsidRPr="009205BB" w14:paraId="7C89073F" w14:textId="77777777" w:rsidTr="00925E53">
        <w:trPr>
          <w:trHeight w:val="255"/>
        </w:trPr>
        <w:tc>
          <w:tcPr>
            <w:tcW w:w="392" w:type="dxa"/>
            <w:vMerge/>
          </w:tcPr>
          <w:p w14:paraId="3D4E12A0" w14:textId="77777777" w:rsidR="00525D98" w:rsidRPr="009205BB" w:rsidRDefault="00525D98" w:rsidP="009205BB">
            <w:pPr>
              <w:spacing w:after="0" w:line="240" w:lineRule="auto"/>
              <w:jc w:val="both"/>
              <w:rPr>
                <w:rFonts w:ascii="Arial" w:hAnsi="Arial" w:cs="Arial"/>
                <w:b/>
              </w:rPr>
            </w:pPr>
          </w:p>
        </w:tc>
        <w:tc>
          <w:tcPr>
            <w:tcW w:w="2977" w:type="dxa"/>
            <w:vMerge/>
          </w:tcPr>
          <w:p w14:paraId="772D574B" w14:textId="77777777" w:rsidR="00525D98" w:rsidRPr="009205BB" w:rsidRDefault="00525D98" w:rsidP="009205BB">
            <w:pPr>
              <w:spacing w:after="0" w:line="240" w:lineRule="auto"/>
              <w:jc w:val="both"/>
              <w:rPr>
                <w:rFonts w:ascii="Arial" w:hAnsi="Arial" w:cs="Arial"/>
                <w:b/>
              </w:rPr>
            </w:pPr>
          </w:p>
        </w:tc>
        <w:tc>
          <w:tcPr>
            <w:tcW w:w="3118" w:type="dxa"/>
          </w:tcPr>
          <w:p w14:paraId="217AC9EA" w14:textId="77777777" w:rsidR="00525D98" w:rsidRPr="009205BB" w:rsidRDefault="00525D98" w:rsidP="009205BB">
            <w:pPr>
              <w:spacing w:after="0" w:line="240" w:lineRule="auto"/>
              <w:jc w:val="both"/>
              <w:rPr>
                <w:rFonts w:ascii="Arial" w:hAnsi="Arial" w:cs="Arial"/>
              </w:rPr>
            </w:pPr>
            <w:r w:rsidRPr="009205BB">
              <w:rPr>
                <w:rFonts w:ascii="Arial" w:hAnsi="Arial" w:cs="Arial"/>
              </w:rPr>
              <w:t xml:space="preserve">Job Title: </w:t>
            </w:r>
          </w:p>
        </w:tc>
        <w:tc>
          <w:tcPr>
            <w:tcW w:w="2755" w:type="dxa"/>
          </w:tcPr>
          <w:p w14:paraId="7EA0DE9C" w14:textId="30D225F3" w:rsidR="00525D98" w:rsidRPr="009205BB" w:rsidRDefault="00660CF6" w:rsidP="009205BB">
            <w:pPr>
              <w:spacing w:after="0" w:line="240" w:lineRule="auto"/>
              <w:rPr>
                <w:rFonts w:ascii="Arial" w:hAnsi="Arial" w:cs="Arial"/>
              </w:rPr>
            </w:pPr>
            <w:r>
              <w:rPr>
                <w:rFonts w:ascii="Arial" w:hAnsi="Arial" w:cs="Arial"/>
              </w:rPr>
              <w:t>Heritage Officer</w:t>
            </w:r>
          </w:p>
        </w:tc>
      </w:tr>
      <w:tr w:rsidR="00525D98" w:rsidRPr="009205BB" w14:paraId="42D530DB" w14:textId="77777777" w:rsidTr="00925E53">
        <w:trPr>
          <w:trHeight w:val="255"/>
        </w:trPr>
        <w:tc>
          <w:tcPr>
            <w:tcW w:w="392" w:type="dxa"/>
            <w:vMerge/>
          </w:tcPr>
          <w:p w14:paraId="2FE7F067" w14:textId="77777777" w:rsidR="00525D98" w:rsidRPr="009205BB" w:rsidRDefault="00525D98" w:rsidP="009205BB">
            <w:pPr>
              <w:spacing w:after="0" w:line="240" w:lineRule="auto"/>
              <w:jc w:val="both"/>
              <w:rPr>
                <w:rFonts w:ascii="Arial" w:hAnsi="Arial" w:cs="Arial"/>
                <w:b/>
              </w:rPr>
            </w:pPr>
          </w:p>
        </w:tc>
        <w:tc>
          <w:tcPr>
            <w:tcW w:w="2977" w:type="dxa"/>
            <w:vMerge/>
          </w:tcPr>
          <w:p w14:paraId="6FFE6446" w14:textId="77777777" w:rsidR="00525D98" w:rsidRPr="009205BB" w:rsidRDefault="00525D98" w:rsidP="009205BB">
            <w:pPr>
              <w:spacing w:after="0" w:line="240" w:lineRule="auto"/>
              <w:jc w:val="both"/>
              <w:rPr>
                <w:rFonts w:ascii="Arial" w:hAnsi="Arial" w:cs="Arial"/>
                <w:b/>
              </w:rPr>
            </w:pPr>
          </w:p>
        </w:tc>
        <w:tc>
          <w:tcPr>
            <w:tcW w:w="3118" w:type="dxa"/>
          </w:tcPr>
          <w:p w14:paraId="0D59CEDD" w14:textId="77777777" w:rsidR="00525D98" w:rsidRPr="009205BB" w:rsidRDefault="00525D98" w:rsidP="009205BB">
            <w:pPr>
              <w:spacing w:after="0" w:line="240" w:lineRule="auto"/>
              <w:rPr>
                <w:rFonts w:ascii="Arial" w:hAnsi="Arial" w:cs="Arial"/>
              </w:rPr>
            </w:pPr>
            <w:r w:rsidRPr="009205BB">
              <w:rPr>
                <w:rFonts w:ascii="Arial" w:hAnsi="Arial" w:cs="Arial"/>
              </w:rPr>
              <w:t>Responding on behalf of</w:t>
            </w:r>
            <w:r w:rsidR="00D45B02" w:rsidRPr="009205BB">
              <w:rPr>
                <w:rFonts w:ascii="Arial" w:hAnsi="Arial" w:cs="Arial"/>
              </w:rPr>
              <w:t>...</w:t>
            </w:r>
            <w:r w:rsidRPr="009205BB">
              <w:rPr>
                <w:rFonts w:ascii="Arial" w:hAnsi="Arial" w:cs="Arial"/>
              </w:rPr>
              <w:t xml:space="preserve"> </w:t>
            </w:r>
          </w:p>
        </w:tc>
        <w:tc>
          <w:tcPr>
            <w:tcW w:w="2755" w:type="dxa"/>
          </w:tcPr>
          <w:p w14:paraId="4961AA75" w14:textId="3D743243" w:rsidR="00525D98" w:rsidRPr="009205BB" w:rsidRDefault="00660CF6" w:rsidP="009205BB">
            <w:pPr>
              <w:spacing w:after="0" w:line="240" w:lineRule="auto"/>
              <w:rPr>
                <w:rFonts w:ascii="Arial" w:hAnsi="Arial" w:cs="Arial"/>
              </w:rPr>
            </w:pPr>
            <w:r>
              <w:rPr>
                <w:rFonts w:ascii="Arial" w:hAnsi="Arial" w:cs="Arial"/>
              </w:rPr>
              <w:t>Heritage Team</w:t>
            </w:r>
          </w:p>
        </w:tc>
      </w:tr>
      <w:tr w:rsidR="00525D98" w:rsidRPr="009205BB" w14:paraId="2BE823E1" w14:textId="77777777" w:rsidTr="009205BB">
        <w:tc>
          <w:tcPr>
            <w:tcW w:w="392" w:type="dxa"/>
          </w:tcPr>
          <w:p w14:paraId="07C0200C" w14:textId="77777777" w:rsidR="00525D98" w:rsidRPr="009205BB" w:rsidRDefault="00525D98" w:rsidP="009205BB">
            <w:pPr>
              <w:spacing w:after="0" w:line="240" w:lineRule="auto"/>
              <w:rPr>
                <w:rFonts w:ascii="Arial" w:hAnsi="Arial" w:cs="Arial"/>
                <w:b/>
              </w:rPr>
            </w:pPr>
            <w:r w:rsidRPr="009205BB">
              <w:rPr>
                <w:rFonts w:ascii="Arial" w:hAnsi="Arial" w:cs="Arial"/>
                <w:b/>
              </w:rPr>
              <w:t>4</w:t>
            </w:r>
          </w:p>
        </w:tc>
        <w:tc>
          <w:tcPr>
            <w:tcW w:w="2977" w:type="dxa"/>
          </w:tcPr>
          <w:p w14:paraId="709A21B5" w14:textId="77777777" w:rsidR="00525D98" w:rsidRPr="009205BB" w:rsidRDefault="005F6472" w:rsidP="009205BB">
            <w:pPr>
              <w:spacing w:after="0" w:line="240" w:lineRule="auto"/>
              <w:rPr>
                <w:rFonts w:ascii="Arial" w:hAnsi="Arial" w:cs="Arial"/>
                <w:b/>
              </w:rPr>
            </w:pPr>
            <w:r>
              <w:rPr>
                <w:rFonts w:ascii="Arial" w:hAnsi="Arial" w:cs="Arial"/>
                <w:b/>
              </w:rPr>
              <w:t xml:space="preserve">Summary and </w:t>
            </w:r>
            <w:r w:rsidR="00525D98" w:rsidRPr="009205BB">
              <w:rPr>
                <w:rFonts w:ascii="Arial" w:hAnsi="Arial" w:cs="Arial"/>
                <w:b/>
              </w:rPr>
              <w:t>Recommendation</w:t>
            </w:r>
          </w:p>
          <w:p w14:paraId="1AB2D887" w14:textId="77777777" w:rsidR="00525D98" w:rsidRPr="009205BB" w:rsidRDefault="00525D98" w:rsidP="001159AB">
            <w:pPr>
              <w:spacing w:after="0" w:line="240" w:lineRule="auto"/>
              <w:rPr>
                <w:rFonts w:ascii="Arial" w:hAnsi="Arial" w:cs="Arial"/>
              </w:rPr>
            </w:pPr>
          </w:p>
        </w:tc>
        <w:tc>
          <w:tcPr>
            <w:tcW w:w="5873" w:type="dxa"/>
            <w:gridSpan w:val="2"/>
          </w:tcPr>
          <w:p w14:paraId="48EEA588" w14:textId="7F307BD1" w:rsidR="008C477E" w:rsidRDefault="00AC3391" w:rsidP="0025186D">
            <w:pPr>
              <w:pStyle w:val="ListParagraph"/>
              <w:numPr>
                <w:ilvl w:val="0"/>
                <w:numId w:val="1"/>
              </w:numPr>
              <w:spacing w:line="240" w:lineRule="auto"/>
              <w:rPr>
                <w:rFonts w:ascii="Arial" w:hAnsi="Arial" w:cs="Arial"/>
              </w:rPr>
            </w:pPr>
            <w:r>
              <w:rPr>
                <w:rFonts w:ascii="Arial" w:hAnsi="Arial" w:cs="Arial"/>
              </w:rPr>
              <w:t xml:space="preserve">I </w:t>
            </w:r>
            <w:r w:rsidRPr="005F6472">
              <w:rPr>
                <w:rFonts w:ascii="Arial" w:hAnsi="Arial" w:cs="Arial"/>
              </w:rPr>
              <w:t xml:space="preserve">consider that the proposal would </w:t>
            </w:r>
            <w:r>
              <w:rPr>
                <w:rFonts w:ascii="Arial" w:hAnsi="Arial" w:cs="Arial"/>
              </w:rPr>
              <w:t xml:space="preserve">cause </w:t>
            </w:r>
            <w:r w:rsidR="008C477E">
              <w:rPr>
                <w:rFonts w:ascii="Arial" w:hAnsi="Arial" w:cs="Arial"/>
              </w:rPr>
              <w:t>a</w:t>
            </w:r>
            <w:r w:rsidR="0025186D">
              <w:rPr>
                <w:rFonts w:ascii="Arial" w:hAnsi="Arial" w:cs="Arial"/>
              </w:rPr>
              <w:t xml:space="preserve"> medium</w:t>
            </w:r>
            <w:r>
              <w:rPr>
                <w:rFonts w:ascii="Arial" w:hAnsi="Arial" w:cs="Arial"/>
              </w:rPr>
              <w:t xml:space="preserve"> level of less than substantial harm to the </w:t>
            </w:r>
            <w:r w:rsidR="0025186D">
              <w:rPr>
                <w:rFonts w:ascii="Arial" w:hAnsi="Arial" w:cs="Arial"/>
              </w:rPr>
              <w:t>significance and setting</w:t>
            </w:r>
            <w:r>
              <w:rPr>
                <w:rFonts w:ascii="Arial" w:hAnsi="Arial" w:cs="Arial"/>
              </w:rPr>
              <w:t xml:space="preserve"> </w:t>
            </w:r>
            <w:r w:rsidR="009C447F">
              <w:rPr>
                <w:rFonts w:ascii="Arial" w:hAnsi="Arial" w:cs="Arial"/>
              </w:rPr>
              <w:t xml:space="preserve">of </w:t>
            </w:r>
            <w:r w:rsidR="0025186D">
              <w:rPr>
                <w:rFonts w:ascii="Arial" w:hAnsi="Arial" w:cs="Arial"/>
              </w:rPr>
              <w:t xml:space="preserve">designated and non-designated heritage assets </w:t>
            </w:r>
            <w:r>
              <w:rPr>
                <w:rFonts w:ascii="Arial" w:hAnsi="Arial" w:cs="Arial"/>
              </w:rPr>
              <w:t xml:space="preserve">due to </w:t>
            </w:r>
            <w:r w:rsidR="004D719A">
              <w:rPr>
                <w:rFonts w:ascii="Arial" w:hAnsi="Arial" w:cs="Arial"/>
              </w:rPr>
              <w:t>the change of character of the site from rural to industrial.</w:t>
            </w:r>
          </w:p>
          <w:p w14:paraId="749F4D19" w14:textId="77777777" w:rsidR="009205BB" w:rsidRDefault="00AC3391" w:rsidP="0025186D">
            <w:pPr>
              <w:pStyle w:val="ListParagraph"/>
              <w:numPr>
                <w:ilvl w:val="0"/>
                <w:numId w:val="1"/>
              </w:numPr>
              <w:spacing w:line="240" w:lineRule="auto"/>
              <w:rPr>
                <w:rFonts w:ascii="Arial" w:hAnsi="Arial" w:cs="Arial"/>
              </w:rPr>
            </w:pPr>
            <w:r w:rsidRPr="008C477E">
              <w:rPr>
                <w:rFonts w:ascii="Arial" w:hAnsi="Arial" w:cs="Arial"/>
              </w:rPr>
              <w:t xml:space="preserve">I recommend that </w:t>
            </w:r>
            <w:r w:rsidR="008C477E" w:rsidRPr="008C477E">
              <w:rPr>
                <w:rFonts w:ascii="Arial" w:hAnsi="Arial" w:cs="Arial"/>
              </w:rPr>
              <w:t>details of the intervisibility of sites during winter/autumn (times of lessened greenery)</w:t>
            </w:r>
          </w:p>
          <w:p w14:paraId="6EDCE91E" w14:textId="437A612C" w:rsidR="008C477E" w:rsidRPr="008C477E" w:rsidRDefault="008C477E" w:rsidP="008C477E">
            <w:pPr>
              <w:spacing w:line="240" w:lineRule="auto"/>
              <w:rPr>
                <w:rFonts w:ascii="Arial" w:hAnsi="Arial" w:cs="Arial"/>
              </w:rPr>
            </w:pPr>
          </w:p>
        </w:tc>
      </w:tr>
      <w:tr w:rsidR="00525D98" w:rsidRPr="009205BB" w14:paraId="6CF022C4" w14:textId="77777777" w:rsidTr="009205BB">
        <w:tc>
          <w:tcPr>
            <w:tcW w:w="392" w:type="dxa"/>
          </w:tcPr>
          <w:p w14:paraId="03B52B82" w14:textId="77777777" w:rsidR="00525D98" w:rsidRPr="009205BB" w:rsidRDefault="00525D98" w:rsidP="009205BB">
            <w:pPr>
              <w:spacing w:after="0" w:line="240" w:lineRule="auto"/>
              <w:rPr>
                <w:rFonts w:ascii="Arial" w:hAnsi="Arial" w:cs="Arial"/>
              </w:rPr>
            </w:pPr>
            <w:r w:rsidRPr="009205BB">
              <w:rPr>
                <w:rFonts w:ascii="Arial" w:hAnsi="Arial" w:cs="Arial"/>
              </w:rPr>
              <w:t>5</w:t>
            </w:r>
          </w:p>
        </w:tc>
        <w:tc>
          <w:tcPr>
            <w:tcW w:w="2977" w:type="dxa"/>
          </w:tcPr>
          <w:p w14:paraId="5852D99D" w14:textId="77777777" w:rsidR="00525D98" w:rsidRPr="009205BB" w:rsidRDefault="00525D98" w:rsidP="009205BB">
            <w:pPr>
              <w:spacing w:after="0" w:line="240" w:lineRule="auto"/>
              <w:rPr>
                <w:rFonts w:ascii="Arial" w:hAnsi="Arial" w:cs="Arial"/>
              </w:rPr>
            </w:pPr>
            <w:r w:rsidRPr="009205BB">
              <w:rPr>
                <w:rFonts w:ascii="Arial" w:hAnsi="Arial" w:cs="Arial"/>
                <w:b/>
              </w:rPr>
              <w:t xml:space="preserve">Discussion </w:t>
            </w:r>
          </w:p>
          <w:p w14:paraId="4841B05B" w14:textId="77777777" w:rsidR="00015791" w:rsidRPr="009205BB" w:rsidRDefault="00015791" w:rsidP="001159AB">
            <w:pPr>
              <w:spacing w:after="0" w:line="240" w:lineRule="auto"/>
              <w:rPr>
                <w:rFonts w:ascii="Arial" w:hAnsi="Arial" w:cs="Arial"/>
              </w:rPr>
            </w:pPr>
          </w:p>
        </w:tc>
        <w:tc>
          <w:tcPr>
            <w:tcW w:w="5873" w:type="dxa"/>
            <w:gridSpan w:val="2"/>
          </w:tcPr>
          <w:p w14:paraId="07A541DF" w14:textId="4F661FA5" w:rsidR="00047332" w:rsidRDefault="009F0C1A" w:rsidP="00D159E7">
            <w:pPr>
              <w:spacing w:after="0" w:line="240" w:lineRule="auto"/>
              <w:rPr>
                <w:rFonts w:ascii="Arial" w:hAnsi="Arial" w:cs="Arial"/>
              </w:rPr>
            </w:pPr>
            <w:r>
              <w:rPr>
                <w:rFonts w:ascii="Arial" w:hAnsi="Arial" w:cs="Arial"/>
              </w:rPr>
              <w:t>Following my previous comments, a site visit was carried out and additional information was provided by the applicants.</w:t>
            </w:r>
          </w:p>
          <w:p w14:paraId="5EA5289A" w14:textId="77777777" w:rsidR="00047332" w:rsidRDefault="00047332" w:rsidP="00D159E7">
            <w:pPr>
              <w:spacing w:after="0" w:line="240" w:lineRule="auto"/>
              <w:rPr>
                <w:rFonts w:ascii="Arial" w:hAnsi="Arial" w:cs="Arial"/>
              </w:rPr>
            </w:pPr>
          </w:p>
          <w:p w14:paraId="3F97848D" w14:textId="0D4BAF2C" w:rsidR="00047332" w:rsidRDefault="00641323" w:rsidP="00D159E7">
            <w:pPr>
              <w:spacing w:after="0" w:line="240" w:lineRule="auto"/>
              <w:rPr>
                <w:rFonts w:ascii="Arial" w:hAnsi="Arial" w:cs="Arial"/>
                <w:b/>
                <w:bCs/>
              </w:rPr>
            </w:pPr>
            <w:r>
              <w:rPr>
                <w:rFonts w:ascii="Arial" w:hAnsi="Arial" w:cs="Arial"/>
              </w:rPr>
              <w:t>As was previously commented, t</w:t>
            </w:r>
            <w:r w:rsidR="00047332" w:rsidRPr="007254E4">
              <w:rPr>
                <w:rFonts w:ascii="Arial" w:hAnsi="Arial" w:cs="Arial"/>
              </w:rPr>
              <w:t xml:space="preserve">he proposed development has the potential to affect </w:t>
            </w:r>
            <w:proofErr w:type="gramStart"/>
            <w:r w:rsidR="00047332" w:rsidRPr="007254E4">
              <w:rPr>
                <w:rFonts w:ascii="Arial" w:hAnsi="Arial" w:cs="Arial"/>
              </w:rPr>
              <w:t>a number of</w:t>
            </w:r>
            <w:proofErr w:type="gramEnd"/>
            <w:r w:rsidR="00047332" w:rsidRPr="007254E4">
              <w:rPr>
                <w:rFonts w:ascii="Arial" w:hAnsi="Arial" w:cs="Arial"/>
              </w:rPr>
              <w:t xml:space="preserve"> </w:t>
            </w:r>
            <w:r w:rsidR="007254E4">
              <w:rPr>
                <w:rFonts w:ascii="Arial" w:hAnsi="Arial" w:cs="Arial"/>
              </w:rPr>
              <w:t>designated and non-designated heritage assets.</w:t>
            </w:r>
            <w:r>
              <w:rPr>
                <w:rFonts w:ascii="Arial" w:hAnsi="Arial" w:cs="Arial"/>
              </w:rPr>
              <w:t xml:space="preserve"> This includes the Grade II* Listed Church of St Mary</w:t>
            </w:r>
            <w:r w:rsidR="008C477E">
              <w:rPr>
                <w:rFonts w:ascii="Arial" w:hAnsi="Arial" w:cs="Arial"/>
              </w:rPr>
              <w:t>,</w:t>
            </w:r>
            <w:r>
              <w:rPr>
                <w:rFonts w:ascii="Arial" w:hAnsi="Arial" w:cs="Arial"/>
              </w:rPr>
              <w:t xml:space="preserve"> the Grade II* Listed Bentley Hall and associated stables, the Grade I Listed Bentley Hall Barn</w:t>
            </w:r>
            <w:r w:rsidR="008C477E">
              <w:rPr>
                <w:rFonts w:ascii="Arial" w:hAnsi="Arial" w:cs="Arial"/>
              </w:rPr>
              <w:t>, and the Grade II Listed Maltings House to the north</w:t>
            </w:r>
            <w:r>
              <w:rPr>
                <w:rFonts w:ascii="Arial" w:hAnsi="Arial" w:cs="Arial"/>
              </w:rPr>
              <w:t>. For non-designated assets there is “Red Cottages and Potash Cottages”, Grove Farm, and Falstaff Manor to the south of the site, and Uplands, Little House, Glebe Cottage, Bentley House, and Church Farm to the north.</w:t>
            </w:r>
            <w:r w:rsidR="00C177EE">
              <w:rPr>
                <w:rFonts w:ascii="Arial" w:hAnsi="Arial" w:cs="Arial"/>
              </w:rPr>
              <w:t xml:space="preserve"> </w:t>
            </w:r>
            <w:proofErr w:type="spellStart"/>
            <w:r w:rsidR="00C177EE">
              <w:rPr>
                <w:rFonts w:ascii="Arial" w:hAnsi="Arial" w:cs="Arial"/>
              </w:rPr>
              <w:t>Engry</w:t>
            </w:r>
            <w:proofErr w:type="spellEnd"/>
            <w:r w:rsidR="00C177EE">
              <w:rPr>
                <w:rFonts w:ascii="Arial" w:hAnsi="Arial" w:cs="Arial"/>
              </w:rPr>
              <w:t xml:space="preserve"> Wood, an ancient woodland, neighbours the site to the north-west.</w:t>
            </w:r>
          </w:p>
          <w:p w14:paraId="3DDC1F4B" w14:textId="77777777" w:rsidR="00047332" w:rsidRDefault="00047332" w:rsidP="00D159E7">
            <w:pPr>
              <w:spacing w:after="0" w:line="240" w:lineRule="auto"/>
              <w:rPr>
                <w:rFonts w:ascii="Arial" w:hAnsi="Arial" w:cs="Arial"/>
              </w:rPr>
            </w:pPr>
          </w:p>
          <w:p w14:paraId="3A939B88" w14:textId="34B60CE6" w:rsidR="0058537C" w:rsidRDefault="0058537C" w:rsidP="00D159E7">
            <w:pPr>
              <w:spacing w:after="0" w:line="240" w:lineRule="auto"/>
              <w:rPr>
                <w:rFonts w:ascii="Arial" w:hAnsi="Arial" w:cs="Arial"/>
              </w:rPr>
            </w:pPr>
            <w:r>
              <w:rPr>
                <w:rFonts w:ascii="Arial" w:hAnsi="Arial" w:cs="Arial"/>
              </w:rPr>
              <w:t>Overall, I consider that my previous comments stand, despite the additional information submitted by the applicants</w:t>
            </w:r>
            <w:r w:rsidR="00E3544E">
              <w:rPr>
                <w:rFonts w:ascii="Arial" w:hAnsi="Arial" w:cs="Arial"/>
              </w:rPr>
              <w:t>: the undeveloped nature of the existing field, and its rural character, provide a key positive contribution to the historic significance of the surrounding assets, and the development of the site (from rural to industrial) through the addition of the proposed infrastructure would fundamentally alter this character, removing its contribution to the detriment of the heritage assets’ significance.</w:t>
            </w:r>
          </w:p>
          <w:p w14:paraId="3B9FD596" w14:textId="77777777" w:rsidR="00E3544E" w:rsidRDefault="00E3544E" w:rsidP="00D159E7">
            <w:pPr>
              <w:spacing w:after="0" w:line="240" w:lineRule="auto"/>
              <w:rPr>
                <w:rFonts w:ascii="Arial" w:hAnsi="Arial" w:cs="Arial"/>
              </w:rPr>
            </w:pPr>
          </w:p>
          <w:p w14:paraId="6DAE1783" w14:textId="5A47EFA3" w:rsidR="00E3544E" w:rsidRDefault="00E3544E" w:rsidP="00D159E7">
            <w:pPr>
              <w:spacing w:after="0" w:line="240" w:lineRule="auto"/>
              <w:rPr>
                <w:rFonts w:ascii="Arial" w:hAnsi="Arial" w:cs="Arial"/>
              </w:rPr>
            </w:pPr>
            <w:r>
              <w:rPr>
                <w:rFonts w:ascii="Arial" w:hAnsi="Arial" w:cs="Arial"/>
              </w:rPr>
              <w:t xml:space="preserve">The </w:t>
            </w:r>
            <w:r w:rsidR="00BC3B37">
              <w:rPr>
                <w:rFonts w:ascii="Arial" w:hAnsi="Arial" w:cs="Arial"/>
              </w:rPr>
              <w:t xml:space="preserve">Supplementary Heritage Assessment (SHA) provided by the applicant focuses on the intervisibility between the site and the nearby heritage assets, asserting that for most building’s the direct visibility of the field from them, and of them from the field, will be </w:t>
            </w:r>
            <w:r w:rsidR="00BC3B37">
              <w:rPr>
                <w:rFonts w:ascii="Arial" w:hAnsi="Arial" w:cs="Arial"/>
              </w:rPr>
              <w:lastRenderedPageBreak/>
              <w:t xml:space="preserve">low or non-existent. As an initial response to this assertion, the provided information only covers views during Spring and Summer, when greenery (which makes up </w:t>
            </w:r>
            <w:proofErr w:type="gramStart"/>
            <w:r w:rsidR="00BC3B37">
              <w:rPr>
                <w:rFonts w:ascii="Arial" w:hAnsi="Arial" w:cs="Arial"/>
              </w:rPr>
              <w:t>the majority of</w:t>
            </w:r>
            <w:proofErr w:type="gramEnd"/>
            <w:r w:rsidR="00BC3B37">
              <w:rPr>
                <w:rFonts w:ascii="Arial" w:hAnsi="Arial" w:cs="Arial"/>
              </w:rPr>
              <w:t xml:space="preserve"> the screening between sites) is at its peak. No details of the intervisibility during Autumn and Winter, when this greenery will be greatly reduced and therefore visibility will be increased, has been provided</w:t>
            </w:r>
            <w:r w:rsidR="006F01C6">
              <w:rPr>
                <w:rFonts w:ascii="Arial" w:hAnsi="Arial" w:cs="Arial"/>
              </w:rPr>
              <w:t xml:space="preserve">; this is a significant omission, and I do not agree that the judgements taken can </w:t>
            </w:r>
            <w:proofErr w:type="gramStart"/>
            <w:r w:rsidR="006F01C6">
              <w:rPr>
                <w:rFonts w:ascii="Arial" w:hAnsi="Arial" w:cs="Arial"/>
              </w:rPr>
              <w:t>be considered to be</w:t>
            </w:r>
            <w:proofErr w:type="gramEnd"/>
            <w:r w:rsidR="006F01C6">
              <w:rPr>
                <w:rFonts w:ascii="Arial" w:hAnsi="Arial" w:cs="Arial"/>
              </w:rPr>
              <w:t xml:space="preserve"> representative of the whole year (or a greater part of it).</w:t>
            </w:r>
          </w:p>
          <w:p w14:paraId="1D5DFB6D" w14:textId="77777777" w:rsidR="00BC3B37" w:rsidRDefault="00BC3B37" w:rsidP="00D159E7">
            <w:pPr>
              <w:spacing w:after="0" w:line="240" w:lineRule="auto"/>
              <w:rPr>
                <w:rFonts w:ascii="Arial" w:hAnsi="Arial" w:cs="Arial"/>
              </w:rPr>
            </w:pPr>
          </w:p>
          <w:p w14:paraId="7BDCAD9F" w14:textId="7B5B155D" w:rsidR="00BC3B37" w:rsidRDefault="00BC3B37" w:rsidP="00330FB2">
            <w:pPr>
              <w:spacing w:after="0" w:line="240" w:lineRule="auto"/>
              <w:rPr>
                <w:rFonts w:ascii="Arial" w:hAnsi="Arial" w:cs="Arial"/>
              </w:rPr>
            </w:pPr>
            <w:r>
              <w:rPr>
                <w:rFonts w:ascii="Arial" w:hAnsi="Arial" w:cs="Arial"/>
              </w:rPr>
              <w:t>Additionally, the focus of the SHA on direct visibility erroneously suggests that this is the only relevant aspect of determining the harm of the proposal on the significance of the heritage assets</w:t>
            </w:r>
            <w:r w:rsidR="00330FB2">
              <w:rPr>
                <w:rFonts w:ascii="Arial" w:hAnsi="Arial" w:cs="Arial"/>
              </w:rPr>
              <w:t>. As the NPPF states, setting is “the surroundings in which a heritage asset is experienced”; no mention of visibility is made here. Furthermore, the Historic England guidance on setting (</w:t>
            </w:r>
            <w:hyperlink r:id="rId13" w:history="1">
              <w:r w:rsidR="00330FB2" w:rsidRPr="00330FB2">
                <w:rPr>
                  <w:rStyle w:val="Hyperlink"/>
                  <w:rFonts w:ascii="Arial" w:hAnsi="Arial" w:cs="Arial"/>
                </w:rPr>
                <w:t>The Setting of Heritage Assets (historicengland.org.uk)</w:t>
              </w:r>
            </w:hyperlink>
            <w:r w:rsidR="00330FB2">
              <w:rPr>
                <w:rFonts w:ascii="Arial" w:hAnsi="Arial" w:cs="Arial"/>
              </w:rPr>
              <w:t>) advises that “buildings that are in close proximity but are not visible from each other may have a historic or aesthetic connection that amplifies the experience of the significance of each”</w:t>
            </w:r>
            <w:r w:rsidR="00BF6270">
              <w:rPr>
                <w:rFonts w:ascii="Arial" w:hAnsi="Arial" w:cs="Arial"/>
              </w:rPr>
              <w:t>, and that “it does not necessarily follow that the contribution is nullified if the asset is obscured or not readily visible”.</w:t>
            </w:r>
          </w:p>
          <w:p w14:paraId="28C7D0D1" w14:textId="77777777" w:rsidR="00330FB2" w:rsidRDefault="00330FB2" w:rsidP="00330FB2">
            <w:pPr>
              <w:spacing w:after="0" w:line="240" w:lineRule="auto"/>
              <w:rPr>
                <w:rFonts w:ascii="Arial" w:hAnsi="Arial" w:cs="Arial"/>
              </w:rPr>
            </w:pPr>
          </w:p>
          <w:p w14:paraId="40805198" w14:textId="29A63A33" w:rsidR="00330FB2" w:rsidRDefault="00330FB2" w:rsidP="00330FB2">
            <w:pPr>
              <w:spacing w:after="0" w:line="240" w:lineRule="auto"/>
              <w:rPr>
                <w:rFonts w:ascii="Arial" w:hAnsi="Arial" w:cs="Arial"/>
              </w:rPr>
            </w:pPr>
            <w:r>
              <w:rPr>
                <w:rFonts w:ascii="Arial" w:hAnsi="Arial" w:cs="Arial"/>
              </w:rPr>
              <w:t>The site in question has both historic and aesthetic connection to the affected heritage assets.</w:t>
            </w:r>
            <w:r w:rsidR="00BF6270">
              <w:rPr>
                <w:rFonts w:ascii="Arial" w:hAnsi="Arial" w:cs="Arial"/>
              </w:rPr>
              <w:t xml:space="preserve"> Historically, as evidence</w:t>
            </w:r>
            <w:r w:rsidR="00522B78">
              <w:rPr>
                <w:rFonts w:ascii="Arial" w:hAnsi="Arial" w:cs="Arial"/>
              </w:rPr>
              <w:t>d</w:t>
            </w:r>
            <w:r w:rsidR="00BF6270">
              <w:rPr>
                <w:rFonts w:ascii="Arial" w:hAnsi="Arial" w:cs="Arial"/>
              </w:rPr>
              <w:t xml:space="preserve"> in the submitted SHA, the field was owned by and associated with the Bentley Hall group</w:t>
            </w:r>
            <w:r w:rsidR="00522B78">
              <w:rPr>
                <w:rFonts w:ascii="Arial" w:hAnsi="Arial" w:cs="Arial"/>
              </w:rPr>
              <w:t>: “whilst the Site can be understood as land historically associated with the Bentley Hall group of assets, it was likely never intended to be seen from those assets”. Again, although it is acknowledged that there is no immediate visibility from the site to the Bentley Hall group, the heritage assets are still experienced within their surroundings, as setting, which the site makes up part of</w:t>
            </w:r>
            <w:r w:rsidR="00FE2BE9">
              <w:rPr>
                <w:rFonts w:ascii="Arial" w:hAnsi="Arial" w:cs="Arial"/>
              </w:rPr>
              <w:t xml:space="preserve"> – the substantial change in character of the site from rural manorial land as traditionally associated with the group to a modern industrial development, as this application proposes, would therefore be to the detriment of the setting and the significance of Bentley Hall and Bentley Hall Barn.</w:t>
            </w:r>
          </w:p>
          <w:p w14:paraId="23913C52" w14:textId="77777777" w:rsidR="00FE2BE9" w:rsidRDefault="00FE2BE9" w:rsidP="00330FB2">
            <w:pPr>
              <w:spacing w:after="0" w:line="240" w:lineRule="auto"/>
              <w:rPr>
                <w:rFonts w:ascii="Arial" w:hAnsi="Arial" w:cs="Arial"/>
              </w:rPr>
            </w:pPr>
          </w:p>
          <w:p w14:paraId="134C4488" w14:textId="082B21DD" w:rsidR="00FE2BE9" w:rsidRDefault="00FE2BE9" w:rsidP="00330FB2">
            <w:pPr>
              <w:spacing w:after="0" w:line="240" w:lineRule="auto"/>
              <w:rPr>
                <w:rFonts w:ascii="Arial" w:hAnsi="Arial" w:cs="Arial"/>
              </w:rPr>
            </w:pPr>
            <w:r>
              <w:rPr>
                <w:rFonts w:ascii="Arial" w:hAnsi="Arial" w:cs="Arial"/>
              </w:rPr>
              <w:t xml:space="preserve">The Church of St Mary, which sits between Bentley Hall and the site, is also contributed to positively by the rural character of the land. The Church and the Bentley Hall group are separated by a redundant section of rail, with a public footpath partially following this route and </w:t>
            </w:r>
            <w:r>
              <w:rPr>
                <w:rFonts w:ascii="Arial" w:hAnsi="Arial" w:cs="Arial"/>
              </w:rPr>
              <w:lastRenderedPageBreak/>
              <w:t>connected to a larger public right of way network which moves through the Bentley Hall group, across to Maltings House, Maltings Farm, and Maltings Cottage to the east</w:t>
            </w:r>
            <w:r w:rsidR="008C477E">
              <w:rPr>
                <w:rFonts w:ascii="Arial" w:hAnsi="Arial" w:cs="Arial"/>
              </w:rPr>
              <w:t xml:space="preserve"> – the former of these buildings visible from the site. It is therefore almost certain that the site would be highly present in the context of the historic landscape settings of the listed assets whilst using the public right of way network.</w:t>
            </w:r>
          </w:p>
          <w:p w14:paraId="29B0F035" w14:textId="77777777" w:rsidR="00FE2BE9" w:rsidRDefault="00FE2BE9" w:rsidP="00330FB2">
            <w:pPr>
              <w:spacing w:after="0" w:line="240" w:lineRule="auto"/>
              <w:rPr>
                <w:rFonts w:ascii="Arial" w:hAnsi="Arial" w:cs="Arial"/>
              </w:rPr>
            </w:pPr>
          </w:p>
          <w:p w14:paraId="73D9E507" w14:textId="496EA843" w:rsidR="00FE2BE9" w:rsidRDefault="00FE2BE9" w:rsidP="00330FB2">
            <w:pPr>
              <w:spacing w:after="0" w:line="240" w:lineRule="auto"/>
              <w:rPr>
                <w:rFonts w:ascii="Arial" w:hAnsi="Arial" w:cs="Arial"/>
              </w:rPr>
            </w:pPr>
            <w:r>
              <w:rPr>
                <w:rFonts w:ascii="Arial" w:hAnsi="Arial" w:cs="Arial"/>
              </w:rPr>
              <w:t>The SHA also states that the site was, by the late 19</w:t>
            </w:r>
            <w:r w:rsidRPr="00FE2BE9">
              <w:rPr>
                <w:rFonts w:ascii="Arial" w:hAnsi="Arial" w:cs="Arial"/>
                <w:vertAlign w:val="superscript"/>
              </w:rPr>
              <w:t>th</w:t>
            </w:r>
            <w:r>
              <w:rPr>
                <w:rFonts w:ascii="Arial" w:hAnsi="Arial" w:cs="Arial"/>
              </w:rPr>
              <w:t xml:space="preserve"> century, owned and farmed in association with Falstaff Manor – itself historically owned by the Tollemache family (historic owners of Bentley Hall), although apparently in operation as a separate entity by the 1830s. The site therefore also possesses a historic connection to non-designated asset Falstaff Manor, positively contributing to its setting through its presence as historically rural and farmed land. Its loss through development would therefore also be to the detriment of Falstaff Manor.</w:t>
            </w:r>
          </w:p>
          <w:p w14:paraId="2B113DDB" w14:textId="77777777" w:rsidR="008C477E" w:rsidRDefault="008C477E" w:rsidP="00330FB2">
            <w:pPr>
              <w:spacing w:after="0" w:line="240" w:lineRule="auto"/>
              <w:rPr>
                <w:rFonts w:ascii="Arial" w:hAnsi="Arial" w:cs="Arial"/>
              </w:rPr>
            </w:pPr>
          </w:p>
          <w:p w14:paraId="4B12537E" w14:textId="1A0979BF" w:rsidR="008C477E" w:rsidRDefault="008C477E" w:rsidP="00330FB2">
            <w:pPr>
              <w:spacing w:after="0" w:line="240" w:lineRule="auto"/>
              <w:rPr>
                <w:rFonts w:ascii="Arial" w:hAnsi="Arial" w:cs="Arial"/>
              </w:rPr>
            </w:pPr>
            <w:r>
              <w:rPr>
                <w:rFonts w:ascii="Arial" w:hAnsi="Arial" w:cs="Arial"/>
              </w:rPr>
              <w:t xml:space="preserve">Overall, </w:t>
            </w:r>
            <w:proofErr w:type="gramStart"/>
            <w:r>
              <w:rPr>
                <w:rFonts w:ascii="Arial" w:hAnsi="Arial" w:cs="Arial"/>
              </w:rPr>
              <w:t>and as a whole</w:t>
            </w:r>
            <w:proofErr w:type="gramEnd"/>
            <w:r>
              <w:rPr>
                <w:rFonts w:ascii="Arial" w:hAnsi="Arial" w:cs="Arial"/>
              </w:rPr>
              <w:t xml:space="preserve"> (including the heritage assets not specifically covered in this comment), I am concerned that the proposal would have a negative impact on the setting of the surrounding designated and non-designated heritage assets. While there is not current intervisibility between the site and </w:t>
            </w:r>
            <w:proofErr w:type="gramStart"/>
            <w:r>
              <w:rPr>
                <w:rFonts w:ascii="Arial" w:hAnsi="Arial" w:cs="Arial"/>
              </w:rPr>
              <w:t>the majority of</w:t>
            </w:r>
            <w:proofErr w:type="gramEnd"/>
            <w:r>
              <w:rPr>
                <w:rFonts w:ascii="Arial" w:hAnsi="Arial" w:cs="Arial"/>
              </w:rPr>
              <w:t xml:space="preserve"> the assets, no information on the winter/autumn visibility (when greenery screening will be reduced) has been provided. Additionally, the proposed development would be unavoidably visible on approach to any of the surrounding </w:t>
            </w:r>
            <w:proofErr w:type="gramStart"/>
            <w:r>
              <w:rPr>
                <w:rFonts w:ascii="Arial" w:hAnsi="Arial" w:cs="Arial"/>
              </w:rPr>
              <w:t>assets, and</w:t>
            </w:r>
            <w:proofErr w:type="gramEnd"/>
            <w:r>
              <w:rPr>
                <w:rFonts w:ascii="Arial" w:hAnsi="Arial" w:cs="Arial"/>
              </w:rPr>
              <w:t xml:space="preserve"> would make up a key element of the context in which they are experienced when moving through the landscape.</w:t>
            </w:r>
          </w:p>
          <w:p w14:paraId="0D5754B5" w14:textId="77777777" w:rsidR="00E3544E" w:rsidRDefault="00E3544E" w:rsidP="00D159E7">
            <w:pPr>
              <w:spacing w:after="0" w:line="240" w:lineRule="auto"/>
              <w:rPr>
                <w:rFonts w:ascii="Arial" w:hAnsi="Arial" w:cs="Arial"/>
              </w:rPr>
            </w:pPr>
          </w:p>
          <w:p w14:paraId="7FC20C1F" w14:textId="30D87756" w:rsidR="00E3544E" w:rsidRDefault="008C477E" w:rsidP="00D159E7">
            <w:pPr>
              <w:spacing w:after="0" w:line="240" w:lineRule="auto"/>
              <w:rPr>
                <w:rFonts w:ascii="Arial" w:hAnsi="Arial" w:cs="Arial"/>
              </w:rPr>
            </w:pPr>
            <w:r>
              <w:rPr>
                <w:rFonts w:ascii="Arial" w:hAnsi="Arial" w:cs="Arial"/>
              </w:rPr>
              <w:t>The proposed change in character of this large parcel of land through the proposed development and addition of associated infrastructure would unavoidably cause the loss of the site’s current positive contribution (through its rural and undeveloped character) to the setting of the nearby heritage assets. As such, I am not convinced that there is any scope for the proposed development in this location.</w:t>
            </w:r>
          </w:p>
          <w:p w14:paraId="7FF8C542" w14:textId="77777777" w:rsidR="0058537C" w:rsidRDefault="0058537C" w:rsidP="00D159E7">
            <w:pPr>
              <w:spacing w:after="0" w:line="240" w:lineRule="auto"/>
              <w:rPr>
                <w:rFonts w:ascii="Arial" w:hAnsi="Arial" w:cs="Arial"/>
              </w:rPr>
            </w:pPr>
          </w:p>
          <w:p w14:paraId="30B89F78" w14:textId="7B66E3D9" w:rsidR="00C6733D" w:rsidRDefault="00C6733D" w:rsidP="00C6733D">
            <w:pPr>
              <w:spacing w:after="0" w:line="240" w:lineRule="auto"/>
              <w:rPr>
                <w:rFonts w:ascii="Arial" w:hAnsi="Arial" w:cs="Arial"/>
              </w:rPr>
            </w:pPr>
            <w:r>
              <w:rPr>
                <w:rFonts w:ascii="Arial" w:hAnsi="Arial" w:cs="Arial"/>
              </w:rPr>
              <w:t xml:space="preserve">In conclusion, I consider that the application in its present form would cause </w:t>
            </w:r>
            <w:r w:rsidR="0025186D">
              <w:rPr>
                <w:rFonts w:ascii="Arial" w:hAnsi="Arial" w:cs="Arial"/>
              </w:rPr>
              <w:t>medium</w:t>
            </w:r>
            <w:r>
              <w:rPr>
                <w:rFonts w:ascii="Arial" w:hAnsi="Arial" w:cs="Arial"/>
              </w:rPr>
              <w:t xml:space="preserve"> level of less than substantial harm to the significance and setting of </w:t>
            </w:r>
            <w:r w:rsidR="0025186D">
              <w:rPr>
                <w:rFonts w:ascii="Arial" w:hAnsi="Arial" w:cs="Arial"/>
              </w:rPr>
              <w:t>designated and non-designated heritage assets.</w:t>
            </w:r>
            <w:r>
              <w:rPr>
                <w:rFonts w:ascii="Arial" w:hAnsi="Arial" w:cs="Arial"/>
              </w:rPr>
              <w:t xml:space="preserve"> It therefore does not meet the requirements of the NPPF and does not accord with Joint Local Plan policy LP19</w:t>
            </w:r>
            <w:r w:rsidR="0025186D">
              <w:rPr>
                <w:rFonts w:ascii="Arial" w:hAnsi="Arial" w:cs="Arial"/>
              </w:rPr>
              <w:t>.</w:t>
            </w:r>
          </w:p>
          <w:p w14:paraId="4032B4FF" w14:textId="745681E3" w:rsidR="00F170CA" w:rsidRDefault="00F170CA" w:rsidP="009205BB">
            <w:pPr>
              <w:spacing w:after="0" w:line="240" w:lineRule="auto"/>
              <w:rPr>
                <w:rFonts w:ascii="Arial" w:hAnsi="Arial" w:cs="Arial"/>
              </w:rPr>
            </w:pPr>
          </w:p>
          <w:p w14:paraId="1B173144" w14:textId="1CEA010A" w:rsidR="00AC3391" w:rsidRPr="00AC3391" w:rsidRDefault="00AC3391" w:rsidP="00AC3391">
            <w:pPr>
              <w:spacing w:after="0" w:line="240" w:lineRule="auto"/>
              <w:rPr>
                <w:rFonts w:ascii="Arial" w:hAnsi="Arial" w:cs="Arial"/>
                <w:b/>
                <w:bCs/>
              </w:rPr>
            </w:pPr>
            <w:r>
              <w:rPr>
                <w:rFonts w:ascii="Arial" w:hAnsi="Arial" w:cs="Arial"/>
              </w:rPr>
              <w:lastRenderedPageBreak/>
              <w:t>The less than substantial harm to the significance of a designated heritage asset should be weighed against the public benefits of the proposal including, where appropriate, securing its optimum viable use, as per para. 202 of the NPPF.</w:t>
            </w:r>
          </w:p>
          <w:p w14:paraId="368FC90F" w14:textId="63C9C27C" w:rsidR="00D159E7" w:rsidRPr="00AC3391" w:rsidRDefault="00D159E7" w:rsidP="001159AB">
            <w:pPr>
              <w:spacing w:after="0" w:line="240" w:lineRule="auto"/>
              <w:rPr>
                <w:rFonts w:ascii="Arial" w:hAnsi="Arial" w:cs="Arial"/>
              </w:rPr>
            </w:pPr>
          </w:p>
          <w:p w14:paraId="22F4506E" w14:textId="1B88F099" w:rsidR="00C6733D" w:rsidRPr="00C6733D" w:rsidRDefault="00C6733D" w:rsidP="00C6733D">
            <w:pPr>
              <w:spacing w:after="0" w:line="240" w:lineRule="auto"/>
              <w:rPr>
                <w:rFonts w:ascii="Arial" w:hAnsi="Arial" w:cs="Arial"/>
                <w:b/>
                <w:bCs/>
              </w:rPr>
            </w:pPr>
            <w:r>
              <w:rPr>
                <w:rFonts w:ascii="Arial" w:hAnsi="Arial" w:cs="Arial"/>
              </w:rPr>
              <w:t xml:space="preserve">The effect of an application on the significance of a non-designated heritage asset should be </w:t>
            </w:r>
            <w:proofErr w:type="gramStart"/>
            <w:r>
              <w:rPr>
                <w:rFonts w:ascii="Arial" w:hAnsi="Arial" w:cs="Arial"/>
              </w:rPr>
              <w:t>taken into account</w:t>
            </w:r>
            <w:proofErr w:type="gramEnd"/>
            <w:r>
              <w:rPr>
                <w:rFonts w:ascii="Arial" w:hAnsi="Arial" w:cs="Arial"/>
              </w:rPr>
              <w:t xml:space="preserve"> in determining the application, as per para.</w:t>
            </w:r>
            <w:r w:rsidR="0025186D">
              <w:rPr>
                <w:rFonts w:ascii="Arial" w:hAnsi="Arial" w:cs="Arial"/>
              </w:rPr>
              <w:t xml:space="preserve"> </w:t>
            </w:r>
            <w:r>
              <w:rPr>
                <w:rFonts w:ascii="Arial" w:hAnsi="Arial" w:cs="Arial"/>
              </w:rPr>
              <w:t>203 of the NPPF, as well as the policies in the Local Plan.</w:t>
            </w:r>
          </w:p>
          <w:p w14:paraId="1B5E81C5" w14:textId="11BE4B5A" w:rsidR="009F76B8" w:rsidRPr="00C6733D" w:rsidRDefault="009F76B8" w:rsidP="009F76B8">
            <w:pPr>
              <w:spacing w:after="0" w:line="240" w:lineRule="auto"/>
              <w:rPr>
                <w:rFonts w:ascii="Arial" w:hAnsi="Arial" w:cs="Arial"/>
              </w:rPr>
            </w:pPr>
          </w:p>
          <w:p w14:paraId="7B294D72" w14:textId="77777777" w:rsidR="00C6733D" w:rsidRDefault="00C6733D" w:rsidP="009F76B8">
            <w:pPr>
              <w:spacing w:after="0" w:line="240" w:lineRule="auto"/>
              <w:rPr>
                <w:rFonts w:ascii="Arial" w:hAnsi="Arial" w:cs="Arial"/>
              </w:rPr>
            </w:pPr>
          </w:p>
          <w:p w14:paraId="13A52867" w14:textId="77777777" w:rsidR="009F76B8" w:rsidRDefault="009F76B8" w:rsidP="009F76B8">
            <w:pPr>
              <w:spacing w:after="0" w:line="240" w:lineRule="auto"/>
              <w:rPr>
                <w:rFonts w:ascii="Arial" w:hAnsi="Arial" w:cs="Arial"/>
                <w:i/>
              </w:rPr>
            </w:pPr>
            <w:r w:rsidRPr="000816D1">
              <w:rPr>
                <w:rFonts w:ascii="Arial" w:hAnsi="Arial" w:cs="Arial"/>
                <w:i/>
              </w:rPr>
              <w:t xml:space="preserve">Decision-takers should be mindful of the specific legal duties of the local planning authority with respect to the special regard to the desirability of preserving the listed building or its setting or any features of special architectural or historic interest which it possesses, as set out in section </w:t>
            </w:r>
            <w:r>
              <w:rPr>
                <w:rFonts w:ascii="Arial" w:hAnsi="Arial" w:cs="Arial"/>
                <w:i/>
              </w:rPr>
              <w:t>1</w:t>
            </w:r>
            <w:r w:rsidRPr="000816D1">
              <w:rPr>
                <w:rFonts w:ascii="Arial" w:hAnsi="Arial" w:cs="Arial"/>
                <w:i/>
              </w:rPr>
              <w:t>6 of the Planning (Listed Buildings and Conservation Areas) Act 1990</w:t>
            </w:r>
            <w:r>
              <w:rPr>
                <w:rFonts w:ascii="Arial" w:hAnsi="Arial" w:cs="Arial"/>
                <w:i/>
              </w:rPr>
              <w:t>.</w:t>
            </w:r>
          </w:p>
          <w:p w14:paraId="420BB5FC" w14:textId="77777777" w:rsidR="009F76B8" w:rsidRDefault="009F76B8" w:rsidP="009F76B8">
            <w:pPr>
              <w:spacing w:after="0" w:line="240" w:lineRule="auto"/>
              <w:rPr>
                <w:rFonts w:ascii="Arial" w:hAnsi="Arial" w:cs="Arial"/>
                <w:i/>
              </w:rPr>
            </w:pPr>
          </w:p>
          <w:p w14:paraId="565151B9" w14:textId="77777777" w:rsidR="009F76B8" w:rsidRPr="00F66D2F" w:rsidRDefault="009F76B8" w:rsidP="009F76B8">
            <w:pPr>
              <w:spacing w:after="0" w:line="240" w:lineRule="auto"/>
              <w:rPr>
                <w:rFonts w:ascii="Arial" w:hAnsi="Arial" w:cs="Arial"/>
                <w:i/>
              </w:rPr>
            </w:pPr>
            <w:r w:rsidRPr="00F66D2F">
              <w:rPr>
                <w:rFonts w:ascii="Arial" w:hAnsi="Arial" w:cs="Arial"/>
                <w:i/>
              </w:rPr>
              <w:t xml:space="preserve">Decision-takers should be mindful of the specific legal duties of the local planning authority with respect to the special regard to the desirability of preserving the listed building or its setting or any features of special architectural or historic interest which it possesses, as set out in section 66 of the Planning (Listed Buildings and Conservation Areas) Act 1990.  </w:t>
            </w:r>
          </w:p>
          <w:p w14:paraId="08B9037F" w14:textId="77777777" w:rsidR="009F76B8" w:rsidRPr="00F66D2F" w:rsidRDefault="009F76B8" w:rsidP="009F76B8">
            <w:pPr>
              <w:spacing w:after="0" w:line="240" w:lineRule="auto"/>
              <w:rPr>
                <w:rFonts w:ascii="Arial" w:hAnsi="Arial" w:cs="Arial"/>
                <w:i/>
              </w:rPr>
            </w:pPr>
          </w:p>
          <w:p w14:paraId="3CC7D815" w14:textId="77777777" w:rsidR="009F76B8" w:rsidRDefault="009F76B8" w:rsidP="009F76B8">
            <w:pPr>
              <w:spacing w:after="0" w:line="240" w:lineRule="auto"/>
              <w:rPr>
                <w:rFonts w:ascii="Arial" w:hAnsi="Arial" w:cs="Arial"/>
                <w:i/>
              </w:rPr>
            </w:pPr>
            <w:r w:rsidRPr="00F66D2F">
              <w:rPr>
                <w:rFonts w:ascii="Arial" w:hAnsi="Arial" w:cs="Arial"/>
                <w:i/>
              </w:rPr>
              <w:t xml:space="preserve">Decision-takers should be mindful of the specific legal duties of the local planning authority with respect to the special attention which shall be paid to the desirability of preserving or enhancing the character and appearance of the Conservation Area, as set out in section 72 of the Planning (Listed Buildings and Conservation Areas) Act 1990.  </w:t>
            </w:r>
          </w:p>
          <w:p w14:paraId="59B97944" w14:textId="77777777" w:rsidR="009F76B8" w:rsidRDefault="009F76B8" w:rsidP="009F76B8">
            <w:pPr>
              <w:spacing w:after="0" w:line="240" w:lineRule="auto"/>
              <w:rPr>
                <w:rFonts w:ascii="Arial" w:hAnsi="Arial" w:cs="Arial"/>
              </w:rPr>
            </w:pPr>
          </w:p>
          <w:p w14:paraId="3B6E052A" w14:textId="77777777" w:rsidR="009F76B8" w:rsidRPr="009F6B8A" w:rsidRDefault="009F76B8" w:rsidP="009F76B8">
            <w:pPr>
              <w:spacing w:after="0" w:line="240" w:lineRule="auto"/>
              <w:rPr>
                <w:rFonts w:ascii="Arial" w:hAnsi="Arial" w:cs="Arial"/>
                <w:i/>
                <w:iCs/>
              </w:rPr>
            </w:pPr>
            <w:r w:rsidRPr="009F6B8A">
              <w:rPr>
                <w:rFonts w:ascii="Arial" w:hAnsi="Arial" w:cs="Arial"/>
                <w:i/>
                <w:iCs/>
              </w:rPr>
              <w:t>Joint Local Plan Policy LP19:</w:t>
            </w:r>
          </w:p>
          <w:p w14:paraId="4F9876AE" w14:textId="77777777" w:rsidR="006F01C6" w:rsidRDefault="009F76B8" w:rsidP="009F76B8">
            <w:pPr>
              <w:spacing w:after="0" w:line="240" w:lineRule="auto"/>
              <w:rPr>
                <w:rFonts w:ascii="Arial" w:hAnsi="Arial" w:cs="Arial"/>
                <w:i/>
                <w:iCs/>
              </w:rPr>
            </w:pPr>
            <w:r w:rsidRPr="00EF3D7A">
              <w:rPr>
                <w:rFonts w:ascii="Arial" w:hAnsi="Arial" w:cs="Arial"/>
                <w:i/>
                <w:iCs/>
              </w:rPr>
              <w:t>When considering applications where a level of harm is identified to heritage assets (including historic landscapes) the Councils will consider the</w:t>
            </w:r>
            <w:r>
              <w:rPr>
                <w:rFonts w:ascii="Arial" w:hAnsi="Arial" w:cs="Arial"/>
                <w:i/>
                <w:iCs/>
              </w:rPr>
              <w:t xml:space="preserve"> e</w:t>
            </w:r>
            <w:r w:rsidRPr="00EF3D7A">
              <w:rPr>
                <w:rFonts w:ascii="Arial" w:hAnsi="Arial" w:cs="Arial"/>
                <w:i/>
                <w:iCs/>
              </w:rPr>
              <w:t>xtent of harm and significance of the asset in accordance with the relevant national policies. Harm to designated heritage assets (regardless of the level of harm) will require clear and convincing justification in line with the tests in the National Planning Policy Framework</w:t>
            </w:r>
          </w:p>
          <w:p w14:paraId="56DA6767" w14:textId="77777777" w:rsidR="006F01C6" w:rsidRDefault="006F01C6" w:rsidP="009F76B8">
            <w:pPr>
              <w:spacing w:after="0" w:line="240" w:lineRule="auto"/>
              <w:rPr>
                <w:rFonts w:ascii="Arial" w:hAnsi="Arial" w:cs="Arial"/>
                <w:i/>
                <w:iCs/>
              </w:rPr>
            </w:pPr>
          </w:p>
          <w:p w14:paraId="6D523D06" w14:textId="77777777" w:rsidR="006F01C6" w:rsidRDefault="006F01C6" w:rsidP="009F76B8">
            <w:pPr>
              <w:spacing w:after="0" w:line="240" w:lineRule="auto"/>
              <w:rPr>
                <w:rFonts w:ascii="Arial" w:hAnsi="Arial" w:cs="Arial"/>
              </w:rPr>
            </w:pPr>
            <w:r>
              <w:rPr>
                <w:rFonts w:ascii="Arial" w:hAnsi="Arial" w:cs="Arial"/>
              </w:rPr>
              <w:t xml:space="preserve">As a footnote, I should add that I am aware of a Conservation Area Appraisal that has been prepared on behalf of Bentley Parish Council and which proposes the designation of a new conservation area in the parish. Consistent with the Council’s duties, it is proper </w:t>
            </w:r>
            <w:r>
              <w:rPr>
                <w:rFonts w:ascii="Arial" w:hAnsi="Arial" w:cs="Arial"/>
              </w:rPr>
              <w:lastRenderedPageBreak/>
              <w:t>that this document be considered, and this will be dealt with separately. It would be inappropriate to second-guess whether a conservation area will be made or not, and I have assessed the current application under the existing policy framework. Nevertheless, I have noted the contents of that appraisal document, and it does not alter my current opinions (if anything, it supports my assessment in respect of some of the omissions made in the application documentation)</w:t>
            </w:r>
          </w:p>
          <w:p w14:paraId="1B176E53" w14:textId="21379B6C" w:rsidR="009F76B8" w:rsidRPr="009205BB" w:rsidRDefault="009F76B8" w:rsidP="009F76B8">
            <w:pPr>
              <w:spacing w:after="0" w:line="240" w:lineRule="auto"/>
              <w:rPr>
                <w:rFonts w:ascii="Arial" w:hAnsi="Arial" w:cs="Arial"/>
              </w:rPr>
            </w:pPr>
            <w:r>
              <w:rPr>
                <w:rFonts w:ascii="Arial" w:hAnsi="Arial" w:cs="Arial"/>
                <w:i/>
                <w:iCs/>
              </w:rPr>
              <w:t>.</w:t>
            </w:r>
          </w:p>
        </w:tc>
      </w:tr>
      <w:tr w:rsidR="00525D98" w:rsidRPr="009205BB" w14:paraId="74B7C088" w14:textId="77777777" w:rsidTr="009205BB">
        <w:tc>
          <w:tcPr>
            <w:tcW w:w="392" w:type="dxa"/>
          </w:tcPr>
          <w:p w14:paraId="5372B762" w14:textId="77777777" w:rsidR="00525D98" w:rsidRPr="009205BB" w:rsidRDefault="00525D98" w:rsidP="009205BB">
            <w:pPr>
              <w:spacing w:after="0" w:line="240" w:lineRule="auto"/>
              <w:rPr>
                <w:rFonts w:ascii="Arial" w:hAnsi="Arial" w:cs="Arial"/>
              </w:rPr>
            </w:pPr>
            <w:r w:rsidRPr="009205BB">
              <w:rPr>
                <w:rFonts w:ascii="Arial" w:hAnsi="Arial" w:cs="Arial"/>
              </w:rPr>
              <w:lastRenderedPageBreak/>
              <w:t>6</w:t>
            </w:r>
          </w:p>
        </w:tc>
        <w:tc>
          <w:tcPr>
            <w:tcW w:w="2977" w:type="dxa"/>
          </w:tcPr>
          <w:p w14:paraId="48F4BC7B" w14:textId="6ACE51B7" w:rsidR="00525D98" w:rsidRPr="009205BB" w:rsidRDefault="00525D98" w:rsidP="009205BB">
            <w:pPr>
              <w:spacing w:after="0" w:line="240" w:lineRule="auto"/>
              <w:rPr>
                <w:rFonts w:ascii="Arial" w:hAnsi="Arial" w:cs="Arial"/>
                <w:b/>
              </w:rPr>
            </w:pPr>
            <w:r w:rsidRPr="009205BB">
              <w:rPr>
                <w:rFonts w:ascii="Arial" w:hAnsi="Arial" w:cs="Arial"/>
                <w:b/>
              </w:rPr>
              <w:t xml:space="preserve">Amendments, Clarification or Additional Information Required </w:t>
            </w:r>
          </w:p>
          <w:p w14:paraId="052DBFBF" w14:textId="12EE5FAD" w:rsidR="00015791" w:rsidRPr="009205BB" w:rsidRDefault="00015791" w:rsidP="001159AB">
            <w:pPr>
              <w:spacing w:after="0" w:line="240" w:lineRule="auto"/>
              <w:rPr>
                <w:rFonts w:ascii="Arial" w:hAnsi="Arial" w:cs="Arial"/>
              </w:rPr>
            </w:pPr>
          </w:p>
        </w:tc>
        <w:tc>
          <w:tcPr>
            <w:tcW w:w="5873" w:type="dxa"/>
            <w:gridSpan w:val="2"/>
          </w:tcPr>
          <w:p w14:paraId="4721BF61" w14:textId="0121DA3A" w:rsidR="00525D98" w:rsidRPr="0025186D" w:rsidRDefault="008C477E" w:rsidP="0025186D">
            <w:pPr>
              <w:pStyle w:val="ListParagraph"/>
              <w:numPr>
                <w:ilvl w:val="0"/>
                <w:numId w:val="4"/>
              </w:numPr>
              <w:spacing w:line="240" w:lineRule="auto"/>
              <w:rPr>
                <w:rFonts w:ascii="Arial" w:hAnsi="Arial" w:cs="Arial"/>
              </w:rPr>
            </w:pPr>
            <w:r>
              <w:rPr>
                <w:rFonts w:ascii="Arial" w:hAnsi="Arial" w:cs="Arial"/>
              </w:rPr>
              <w:t>Details of the intervisibility of sites during winter/autumn (times of lessened greenery)</w:t>
            </w:r>
          </w:p>
        </w:tc>
      </w:tr>
      <w:tr w:rsidR="00525D98" w:rsidRPr="009205BB" w14:paraId="237AA709" w14:textId="77777777" w:rsidTr="009205BB">
        <w:tc>
          <w:tcPr>
            <w:tcW w:w="392" w:type="dxa"/>
          </w:tcPr>
          <w:p w14:paraId="48620882" w14:textId="77777777" w:rsidR="00525D98" w:rsidRPr="009205BB" w:rsidRDefault="00525D98" w:rsidP="009205BB">
            <w:pPr>
              <w:spacing w:after="0" w:line="240" w:lineRule="auto"/>
              <w:rPr>
                <w:rFonts w:ascii="Arial" w:hAnsi="Arial" w:cs="Arial"/>
              </w:rPr>
            </w:pPr>
            <w:r w:rsidRPr="009205BB">
              <w:rPr>
                <w:rFonts w:ascii="Arial" w:hAnsi="Arial" w:cs="Arial"/>
              </w:rPr>
              <w:t>7</w:t>
            </w:r>
          </w:p>
        </w:tc>
        <w:tc>
          <w:tcPr>
            <w:tcW w:w="2977" w:type="dxa"/>
          </w:tcPr>
          <w:p w14:paraId="271ED70A" w14:textId="77777777" w:rsidR="00525D98" w:rsidRDefault="00525D98" w:rsidP="003922F4">
            <w:pPr>
              <w:spacing w:after="0" w:line="240" w:lineRule="auto"/>
              <w:rPr>
                <w:rFonts w:ascii="Arial" w:hAnsi="Arial" w:cs="Arial"/>
                <w:b/>
              </w:rPr>
            </w:pPr>
            <w:r w:rsidRPr="009205BB">
              <w:rPr>
                <w:rFonts w:ascii="Arial" w:hAnsi="Arial" w:cs="Arial"/>
                <w:b/>
              </w:rPr>
              <w:t>Recommended conditions</w:t>
            </w:r>
          </w:p>
          <w:p w14:paraId="73ED3AAA" w14:textId="31911D53" w:rsidR="009F36CA" w:rsidRPr="009205BB" w:rsidRDefault="009F36CA" w:rsidP="003922F4">
            <w:pPr>
              <w:spacing w:after="0" w:line="240" w:lineRule="auto"/>
              <w:rPr>
                <w:rFonts w:ascii="Arial" w:hAnsi="Arial" w:cs="Arial"/>
              </w:rPr>
            </w:pPr>
          </w:p>
        </w:tc>
        <w:tc>
          <w:tcPr>
            <w:tcW w:w="5873" w:type="dxa"/>
            <w:gridSpan w:val="2"/>
          </w:tcPr>
          <w:p w14:paraId="03A9C86D" w14:textId="1C1D84F8" w:rsidR="00D45B02" w:rsidRPr="009205BB" w:rsidRDefault="0025186D" w:rsidP="009205BB">
            <w:pPr>
              <w:spacing w:after="0" w:line="240" w:lineRule="auto"/>
              <w:rPr>
                <w:rFonts w:ascii="Arial" w:hAnsi="Arial" w:cs="Arial"/>
              </w:rPr>
            </w:pPr>
            <w:r>
              <w:rPr>
                <w:rFonts w:ascii="Arial" w:hAnsi="Arial" w:cs="Arial"/>
              </w:rPr>
              <w:t>Subject to the above.</w:t>
            </w:r>
          </w:p>
        </w:tc>
      </w:tr>
    </w:tbl>
    <w:p w14:paraId="3366C8E8" w14:textId="77777777" w:rsidR="00525D98" w:rsidRPr="00815A63" w:rsidRDefault="00525D98">
      <w:pPr>
        <w:rPr>
          <w:rFonts w:ascii="Arial" w:hAnsi="Arial" w:cs="Arial"/>
        </w:rPr>
      </w:pPr>
    </w:p>
    <w:sectPr w:rsidR="00525D98" w:rsidRPr="00815A63" w:rsidSect="008F275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99A8F" w14:textId="77777777" w:rsidR="00024AAC" w:rsidRDefault="00024AAC" w:rsidP="00D45B02">
      <w:pPr>
        <w:spacing w:after="0" w:line="240" w:lineRule="auto"/>
      </w:pPr>
      <w:r>
        <w:separator/>
      </w:r>
    </w:p>
  </w:endnote>
  <w:endnote w:type="continuationSeparator" w:id="0">
    <w:p w14:paraId="62797815" w14:textId="77777777" w:rsidR="00024AAC" w:rsidRDefault="00024AAC" w:rsidP="00D4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009B0" w14:textId="77777777" w:rsidR="00D45B02" w:rsidRPr="00D45B02" w:rsidRDefault="00D45B02" w:rsidP="00D45B02">
    <w:pPr>
      <w:pStyle w:val="Footer"/>
      <w:jc w:val="both"/>
      <w:rPr>
        <w:rFonts w:ascii="Arial" w:hAnsi="Arial" w:cs="Arial"/>
        <w:sz w:val="16"/>
        <w:szCs w:val="16"/>
      </w:rPr>
    </w:pPr>
    <w:r w:rsidRPr="00D45B02">
      <w:rPr>
        <w:rFonts w:ascii="Arial" w:hAnsi="Arial" w:cs="Arial"/>
        <w:sz w:val="16"/>
        <w:szCs w:val="16"/>
      </w:rPr>
      <w:t>P</w:t>
    </w:r>
    <w:r w:rsidR="008F2757" w:rsidRPr="00D45B02">
      <w:rPr>
        <w:rFonts w:ascii="Arial" w:hAnsi="Arial" w:cs="Arial"/>
        <w:sz w:val="16"/>
        <w:szCs w:val="16"/>
      </w:rPr>
      <w:t>lease note that this form can be submitted electronically on the Councils website. Comments submitted on the website will not be acknowledged but you can check whether they have been received by reviewing comments on the website under the application reference number.</w:t>
    </w:r>
    <w:r w:rsidRPr="00D45B02">
      <w:rPr>
        <w:rFonts w:ascii="Arial" w:hAnsi="Arial" w:cs="Arial"/>
        <w:sz w:val="16"/>
        <w:szCs w:val="16"/>
      </w:rPr>
      <w:t xml:space="preserve"> Please note that the completed form will be posted on the Councils website and available to view by the public.  </w:t>
    </w:r>
  </w:p>
  <w:p w14:paraId="54A0854B" w14:textId="77777777" w:rsidR="008F2757" w:rsidRDefault="008F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CC8C3" w14:textId="77777777" w:rsidR="00024AAC" w:rsidRDefault="00024AAC" w:rsidP="00D45B02">
      <w:pPr>
        <w:spacing w:after="0" w:line="240" w:lineRule="auto"/>
      </w:pPr>
      <w:r>
        <w:separator/>
      </w:r>
    </w:p>
  </w:footnote>
  <w:footnote w:type="continuationSeparator" w:id="0">
    <w:p w14:paraId="08B30E5A" w14:textId="77777777" w:rsidR="00024AAC" w:rsidRDefault="00024AAC" w:rsidP="00D4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C2D7D"/>
    <w:multiLevelType w:val="hybridMultilevel"/>
    <w:tmpl w:val="C25A7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800F4D"/>
    <w:multiLevelType w:val="hybridMultilevel"/>
    <w:tmpl w:val="77D0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91485"/>
    <w:multiLevelType w:val="hybridMultilevel"/>
    <w:tmpl w:val="3C2AA9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4A0011B"/>
    <w:multiLevelType w:val="hybridMultilevel"/>
    <w:tmpl w:val="301C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906335">
    <w:abstractNumId w:val="2"/>
  </w:num>
  <w:num w:numId="2" w16cid:durableId="1134642169">
    <w:abstractNumId w:val="3"/>
  </w:num>
  <w:num w:numId="3" w16cid:durableId="1287807319">
    <w:abstractNumId w:val="0"/>
  </w:num>
  <w:num w:numId="4" w16cid:durableId="126086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98"/>
    <w:rsid w:val="00015791"/>
    <w:rsid w:val="00024AAC"/>
    <w:rsid w:val="00047332"/>
    <w:rsid w:val="000F0E42"/>
    <w:rsid w:val="001159AB"/>
    <w:rsid w:val="00137A79"/>
    <w:rsid w:val="00141475"/>
    <w:rsid w:val="0015596E"/>
    <w:rsid w:val="001A0F59"/>
    <w:rsid w:val="001A1D47"/>
    <w:rsid w:val="001B5DD6"/>
    <w:rsid w:val="001F0B69"/>
    <w:rsid w:val="0025186D"/>
    <w:rsid w:val="002C2D0D"/>
    <w:rsid w:val="002E6331"/>
    <w:rsid w:val="002F140C"/>
    <w:rsid w:val="002F67BB"/>
    <w:rsid w:val="00305DE8"/>
    <w:rsid w:val="00317D19"/>
    <w:rsid w:val="00330FB2"/>
    <w:rsid w:val="003811D3"/>
    <w:rsid w:val="00386A5D"/>
    <w:rsid w:val="003877A4"/>
    <w:rsid w:val="003922F4"/>
    <w:rsid w:val="003B4D45"/>
    <w:rsid w:val="003F655A"/>
    <w:rsid w:val="00404B2B"/>
    <w:rsid w:val="004056CC"/>
    <w:rsid w:val="004234DC"/>
    <w:rsid w:val="00423827"/>
    <w:rsid w:val="004A106C"/>
    <w:rsid w:val="004B6CC5"/>
    <w:rsid w:val="004D514C"/>
    <w:rsid w:val="004D719A"/>
    <w:rsid w:val="004F454D"/>
    <w:rsid w:val="00522B78"/>
    <w:rsid w:val="00525D98"/>
    <w:rsid w:val="0054637D"/>
    <w:rsid w:val="005477B5"/>
    <w:rsid w:val="00554D2C"/>
    <w:rsid w:val="0058537C"/>
    <w:rsid w:val="005917D4"/>
    <w:rsid w:val="005C202F"/>
    <w:rsid w:val="005F6472"/>
    <w:rsid w:val="006222BE"/>
    <w:rsid w:val="00622CE4"/>
    <w:rsid w:val="00641323"/>
    <w:rsid w:val="00641647"/>
    <w:rsid w:val="00660CF6"/>
    <w:rsid w:val="00680BA5"/>
    <w:rsid w:val="00686001"/>
    <w:rsid w:val="006B6284"/>
    <w:rsid w:val="006B7048"/>
    <w:rsid w:val="006C05AF"/>
    <w:rsid w:val="006F01C6"/>
    <w:rsid w:val="006F5A2A"/>
    <w:rsid w:val="0071219D"/>
    <w:rsid w:val="007254E4"/>
    <w:rsid w:val="007659AE"/>
    <w:rsid w:val="0078628D"/>
    <w:rsid w:val="007906BE"/>
    <w:rsid w:val="007A0BC0"/>
    <w:rsid w:val="007B65DA"/>
    <w:rsid w:val="007D262D"/>
    <w:rsid w:val="00811618"/>
    <w:rsid w:val="00815A63"/>
    <w:rsid w:val="00825251"/>
    <w:rsid w:val="008409C1"/>
    <w:rsid w:val="008A2C51"/>
    <w:rsid w:val="008B17CD"/>
    <w:rsid w:val="008B20DC"/>
    <w:rsid w:val="008B3E37"/>
    <w:rsid w:val="008C477E"/>
    <w:rsid w:val="008E718F"/>
    <w:rsid w:val="008F1082"/>
    <w:rsid w:val="008F2757"/>
    <w:rsid w:val="00913E99"/>
    <w:rsid w:val="009205BB"/>
    <w:rsid w:val="00925E53"/>
    <w:rsid w:val="00950CCD"/>
    <w:rsid w:val="00996158"/>
    <w:rsid w:val="009C447F"/>
    <w:rsid w:val="009D0840"/>
    <w:rsid w:val="009F0C1A"/>
    <w:rsid w:val="009F36CA"/>
    <w:rsid w:val="009F76B8"/>
    <w:rsid w:val="00A56581"/>
    <w:rsid w:val="00A61602"/>
    <w:rsid w:val="00A8209C"/>
    <w:rsid w:val="00AA5C4B"/>
    <w:rsid w:val="00AC2586"/>
    <w:rsid w:val="00AC3391"/>
    <w:rsid w:val="00AE6B95"/>
    <w:rsid w:val="00AE7B9A"/>
    <w:rsid w:val="00B010DC"/>
    <w:rsid w:val="00B118A6"/>
    <w:rsid w:val="00B12030"/>
    <w:rsid w:val="00B32228"/>
    <w:rsid w:val="00B40EB7"/>
    <w:rsid w:val="00BA4F2F"/>
    <w:rsid w:val="00BC0A1D"/>
    <w:rsid w:val="00BC3B37"/>
    <w:rsid w:val="00BF2D36"/>
    <w:rsid w:val="00BF6270"/>
    <w:rsid w:val="00C00875"/>
    <w:rsid w:val="00C177EE"/>
    <w:rsid w:val="00C6733D"/>
    <w:rsid w:val="00C909AD"/>
    <w:rsid w:val="00CF415F"/>
    <w:rsid w:val="00D159E7"/>
    <w:rsid w:val="00D45B02"/>
    <w:rsid w:val="00D719FC"/>
    <w:rsid w:val="00E0219B"/>
    <w:rsid w:val="00E3544E"/>
    <w:rsid w:val="00E5536B"/>
    <w:rsid w:val="00E602C0"/>
    <w:rsid w:val="00E86C17"/>
    <w:rsid w:val="00EC0D24"/>
    <w:rsid w:val="00F11264"/>
    <w:rsid w:val="00F170CA"/>
    <w:rsid w:val="00F17F07"/>
    <w:rsid w:val="00F37779"/>
    <w:rsid w:val="00FE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F671143"/>
  <w15:docId w15:val="{3DB36B8A-1E7C-422E-A61D-BF406CEA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25D98"/>
    <w:pPr>
      <w:tabs>
        <w:tab w:val="center" w:pos="4513"/>
        <w:tab w:val="right" w:pos="9026"/>
      </w:tabs>
    </w:pPr>
  </w:style>
  <w:style w:type="character" w:customStyle="1" w:styleId="FooterChar">
    <w:name w:val="Footer Char"/>
    <w:link w:val="Footer"/>
    <w:uiPriority w:val="99"/>
    <w:semiHidden/>
    <w:rsid w:val="00525D98"/>
    <w:rPr>
      <w:rFonts w:ascii="Calibri" w:eastAsia="Calibri" w:hAnsi="Calibri" w:cs="Times New Roman"/>
    </w:rPr>
  </w:style>
  <w:style w:type="table" w:styleId="TableGrid">
    <w:name w:val="Table Grid"/>
    <w:basedOn w:val="TableNormal"/>
    <w:uiPriority w:val="59"/>
    <w:rsid w:val="0052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45B02"/>
    <w:pPr>
      <w:tabs>
        <w:tab w:val="center" w:pos="4513"/>
        <w:tab w:val="right" w:pos="9026"/>
      </w:tabs>
      <w:spacing w:after="0" w:line="240" w:lineRule="auto"/>
    </w:pPr>
  </w:style>
  <w:style w:type="character" w:customStyle="1" w:styleId="HeaderChar">
    <w:name w:val="Header Char"/>
    <w:link w:val="Header"/>
    <w:uiPriority w:val="99"/>
    <w:semiHidden/>
    <w:rsid w:val="00D45B02"/>
    <w:rPr>
      <w:rFonts w:ascii="Calibri" w:eastAsia="Calibri" w:hAnsi="Calibri" w:cs="Times New Roman"/>
    </w:rPr>
  </w:style>
  <w:style w:type="paragraph" w:styleId="BalloonText">
    <w:name w:val="Balloon Text"/>
    <w:basedOn w:val="Normal"/>
    <w:link w:val="BalloonTextChar"/>
    <w:uiPriority w:val="99"/>
    <w:semiHidden/>
    <w:unhideWhenUsed/>
    <w:rsid w:val="00D45B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B02"/>
    <w:rPr>
      <w:rFonts w:ascii="Tahoma" w:eastAsia="Calibri" w:hAnsi="Tahoma" w:cs="Tahoma"/>
      <w:sz w:val="16"/>
      <w:szCs w:val="16"/>
    </w:rPr>
  </w:style>
  <w:style w:type="paragraph" w:styleId="ListParagraph">
    <w:name w:val="List Paragraph"/>
    <w:basedOn w:val="Normal"/>
    <w:uiPriority w:val="34"/>
    <w:qFormat/>
    <w:rsid w:val="005F6472"/>
    <w:pPr>
      <w:spacing w:after="0"/>
      <w:ind w:left="720"/>
      <w:contextualSpacing/>
    </w:pPr>
  </w:style>
  <w:style w:type="paragraph" w:styleId="NoSpacing">
    <w:name w:val="No Spacing"/>
    <w:uiPriority w:val="1"/>
    <w:qFormat/>
    <w:rsid w:val="008409C1"/>
    <w:rPr>
      <w:sz w:val="22"/>
      <w:szCs w:val="22"/>
      <w:lang w:eastAsia="en-US"/>
    </w:rPr>
  </w:style>
  <w:style w:type="character" w:styleId="Hyperlink">
    <w:name w:val="Hyperlink"/>
    <w:basedOn w:val="DefaultParagraphFont"/>
    <w:uiPriority w:val="99"/>
    <w:unhideWhenUsed/>
    <w:rsid w:val="00330FB2"/>
    <w:rPr>
      <w:color w:val="0000FF" w:themeColor="hyperlink"/>
      <w:u w:val="single"/>
    </w:rPr>
  </w:style>
  <w:style w:type="character" w:styleId="UnresolvedMention">
    <w:name w:val="Unresolved Mention"/>
    <w:basedOn w:val="DefaultParagraphFont"/>
    <w:uiPriority w:val="99"/>
    <w:semiHidden/>
    <w:unhideWhenUsed/>
    <w:rsid w:val="0033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7081">
      <w:bodyDiv w:val="1"/>
      <w:marLeft w:val="0"/>
      <w:marRight w:val="0"/>
      <w:marTop w:val="0"/>
      <w:marBottom w:val="0"/>
      <w:divBdr>
        <w:top w:val="none" w:sz="0" w:space="0" w:color="auto"/>
        <w:left w:val="none" w:sz="0" w:space="0" w:color="auto"/>
        <w:bottom w:val="none" w:sz="0" w:space="0" w:color="auto"/>
        <w:right w:val="none" w:sz="0" w:space="0" w:color="auto"/>
      </w:divBdr>
    </w:div>
    <w:div w:id="1522433288">
      <w:bodyDiv w:val="1"/>
      <w:marLeft w:val="0"/>
      <w:marRight w:val="0"/>
      <w:marTop w:val="0"/>
      <w:marBottom w:val="0"/>
      <w:divBdr>
        <w:top w:val="none" w:sz="0" w:space="0" w:color="auto"/>
        <w:left w:val="none" w:sz="0" w:space="0" w:color="auto"/>
        <w:bottom w:val="none" w:sz="0" w:space="0" w:color="auto"/>
        <w:right w:val="none" w:sz="0" w:space="0" w:color="auto"/>
      </w:divBdr>
    </w:div>
    <w:div w:id="1639989494">
      <w:bodyDiv w:val="1"/>
      <w:marLeft w:val="0"/>
      <w:marRight w:val="0"/>
      <w:marTop w:val="0"/>
      <w:marBottom w:val="0"/>
      <w:divBdr>
        <w:top w:val="none" w:sz="0" w:space="0" w:color="auto"/>
        <w:left w:val="none" w:sz="0" w:space="0" w:color="auto"/>
        <w:bottom w:val="none" w:sz="0" w:space="0" w:color="auto"/>
        <w:right w:val="none" w:sz="0" w:space="0" w:color="auto"/>
      </w:divBdr>
    </w:div>
    <w:div w:id="19071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storicengland.org.uk/images-books/publications/gpa3-setting-of-heritage-assets/heag180-gpa3-setting-heritage-ass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babreview.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c90b0-38f2-4d4a-99ea-031059d191c2">
      <Terms xmlns="http://schemas.microsoft.com/office/infopath/2007/PartnerControls"/>
    </lcf76f155ced4ddcb4097134ff3c332f>
    <TaxCatchAll xmlns="c2664a79-626b-4390-9dde-f2f3e70d7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0F6C8C5A6BDA47BE6E113ECCB664B2" ma:contentTypeVersion="13" ma:contentTypeDescription="Create a new document." ma:contentTypeScope="" ma:versionID="b8bf777e99cfc46fa6e66d7eed933a20">
  <xsd:schema xmlns:xsd="http://www.w3.org/2001/XMLSchema" xmlns:xs="http://www.w3.org/2001/XMLSchema" xmlns:p="http://schemas.microsoft.com/office/2006/metadata/properties" xmlns:ns2="325c90b0-38f2-4d4a-99ea-031059d191c2" xmlns:ns3="c2664a79-626b-4390-9dde-f2f3e70d74ff" targetNamespace="http://schemas.microsoft.com/office/2006/metadata/properties" ma:root="true" ma:fieldsID="3011285fa3c2df2c28523f8080d08e6f" ns2:_="" ns3:_="">
    <xsd:import namespace="325c90b0-38f2-4d4a-99ea-031059d191c2"/>
    <xsd:import namespace="c2664a79-626b-4390-9dde-f2f3e70d7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c90b0-38f2-4d4a-99ea-031059d19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9acc10-f9e9-4916-bc5f-62b8062e9e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64a79-626b-4390-9dde-f2f3e70d74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feb872-48ba-4826-924c-690259f8a9be}" ma:internalName="TaxCatchAll" ma:showField="CatchAllData" ma:web="c2664a79-626b-4390-9dde-f2f3e70d7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56022-4AAA-44B1-B772-675C1C51603D}">
  <ds:schemaRefs>
    <ds:schemaRef ds:uri="http://schemas.openxmlformats.org/officeDocument/2006/bibliography"/>
  </ds:schemaRefs>
</ds:datastoreItem>
</file>

<file path=customXml/itemProps2.xml><?xml version="1.0" encoding="utf-8"?>
<ds:datastoreItem xmlns:ds="http://schemas.openxmlformats.org/officeDocument/2006/customXml" ds:itemID="{73E6C65E-28CE-4F52-98C0-04F7996ED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82C90-97FE-4B22-AF39-A13A8E4F9E81}">
  <ds:schemaRefs>
    <ds:schemaRef ds:uri="http://schemas.microsoft.com/sharepoint/v3/contenttype/forms"/>
  </ds:schemaRefs>
</ds:datastoreItem>
</file>

<file path=customXml/itemProps4.xml><?xml version="1.0" encoding="utf-8"?>
<ds:datastoreItem xmlns:ds="http://schemas.openxmlformats.org/officeDocument/2006/customXml" ds:itemID="{0DB8C343-FCE6-479A-B3E2-27D6442F50A1}"/>
</file>

<file path=docProps/app.xml><?xml version="1.0" encoding="utf-8"?>
<Properties xmlns="http://schemas.openxmlformats.org/officeDocument/2006/extended-properties" xmlns:vt="http://schemas.openxmlformats.org/officeDocument/2006/docPropsVTypes">
  <Template>Normal</Template>
  <TotalTime>4</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Babergh District Council</Company>
  <LinksUpToDate>false</LinksUpToDate>
  <CharactersWithSpaces>10153</CharactersWithSpaces>
  <SharedDoc>false</SharedDoc>
  <HLinks>
    <vt:vector size="6" baseType="variant">
      <vt:variant>
        <vt:i4>4653084</vt:i4>
      </vt:variant>
      <vt:variant>
        <vt:i4>-1</vt:i4>
      </vt:variant>
      <vt:variant>
        <vt:i4>1026</vt:i4>
      </vt:variant>
      <vt:variant>
        <vt:i4>4</vt:i4>
      </vt:variant>
      <vt:variant>
        <vt:lpwstr>http://intranet/babreview.htm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chamberg</dc:creator>
  <cp:lastModifiedBy>Lucy Birch</cp:lastModifiedBy>
  <cp:revision>2</cp:revision>
  <dcterms:created xsi:type="dcterms:W3CDTF">2024-09-05T09:35:00Z</dcterms:created>
  <dcterms:modified xsi:type="dcterms:W3CDTF">2024-09-05T09:35:00Z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0x010100F10F6C8C5A6BDA47BE6E113ECCB664B2</vt:lpwstr>
  </property>
</Properties>
</file>