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B09A" w14:textId="6BDF3680" w:rsidR="00525D98" w:rsidRPr="00D45B02" w:rsidRDefault="000F0E42" w:rsidP="00525D98">
      <w:pPr>
        <w:jc w:val="center"/>
        <w:rPr>
          <w:rFonts w:ascii="Arial" w:hAnsi="Arial" w:cs="Arial"/>
          <w:b/>
          <w:sz w:val="36"/>
          <w:szCs w:val="36"/>
        </w:rPr>
      </w:pPr>
      <w:r>
        <w:rPr>
          <w:rFonts w:ascii="Arial" w:hAnsi="Arial" w:cs="Arial"/>
          <w:b/>
          <w:noProof/>
          <w:sz w:val="36"/>
          <w:szCs w:val="36"/>
          <w:lang w:eastAsia="en-GB"/>
        </w:rPr>
        <w:drawing>
          <wp:anchor distT="0" distB="0" distL="114300" distR="114300" simplePos="0" relativeHeight="251657728" behindDoc="1" locked="0" layoutInCell="1" allowOverlap="1" wp14:anchorId="09362E72" wp14:editId="7EA08DCC">
            <wp:simplePos x="0" y="0"/>
            <wp:positionH relativeFrom="column">
              <wp:posOffset>4905375</wp:posOffset>
            </wp:positionH>
            <wp:positionV relativeFrom="paragraph">
              <wp:posOffset>-752475</wp:posOffset>
            </wp:positionV>
            <wp:extent cx="1419225" cy="904875"/>
            <wp:effectExtent l="0" t="0" r="9525" b="9525"/>
            <wp:wrapNone/>
            <wp:docPr id="2" name="Picture 7" descr="BM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4DC">
        <w:rPr>
          <w:rFonts w:ascii="Arial" w:hAnsi="Arial" w:cs="Arial"/>
          <w:b/>
          <w:sz w:val="36"/>
          <w:szCs w:val="36"/>
        </w:rPr>
        <w:t>Consultation Response Pro</w:t>
      </w:r>
      <w:r w:rsidR="008B20DC">
        <w:rPr>
          <w:rFonts w:ascii="Arial" w:hAnsi="Arial" w:cs="Arial"/>
          <w:b/>
          <w:sz w:val="36"/>
          <w:szCs w:val="36"/>
        </w:rPr>
        <w:t xml:space="preserve"> </w:t>
      </w:r>
      <w:r w:rsidR="004234DC">
        <w:rPr>
          <w:rFonts w:ascii="Arial" w:hAnsi="Arial" w:cs="Arial"/>
          <w:b/>
          <w:sz w:val="36"/>
          <w:szCs w:val="36"/>
        </w:rPr>
        <w:t>f</w:t>
      </w:r>
      <w:r w:rsidR="00525D98" w:rsidRPr="00D45B02">
        <w:rPr>
          <w:rFonts w:ascii="Arial" w:hAnsi="Arial" w:cs="Arial"/>
          <w:b/>
          <w:sz w:val="36"/>
          <w:szCs w:val="36"/>
        </w:rPr>
        <w:t>o</w:t>
      </w:r>
      <w:r w:rsidR="004234DC">
        <w:rPr>
          <w:rFonts w:ascii="Arial" w:hAnsi="Arial" w:cs="Arial"/>
          <w:b/>
          <w:sz w:val="36"/>
          <w:szCs w:val="36"/>
        </w:rPr>
        <w:t>r</w:t>
      </w:r>
      <w:r w:rsidR="00525D98" w:rsidRPr="00D45B02">
        <w:rPr>
          <w:rFonts w:ascii="Arial" w:hAnsi="Arial" w:cs="Arial"/>
          <w:b/>
          <w:sz w:val="36"/>
          <w:szCs w:val="36"/>
        </w:rPr>
        <w:t xml:space="preserve">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30"/>
        <w:gridCol w:w="3029"/>
        <w:gridCol w:w="2667"/>
      </w:tblGrid>
      <w:tr w:rsidR="00525D98" w:rsidRPr="009205BB" w14:paraId="31EB8609" w14:textId="77777777" w:rsidTr="009205BB">
        <w:tc>
          <w:tcPr>
            <w:tcW w:w="392" w:type="dxa"/>
          </w:tcPr>
          <w:p w14:paraId="6E69AFDA"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1</w:t>
            </w:r>
          </w:p>
        </w:tc>
        <w:tc>
          <w:tcPr>
            <w:tcW w:w="2977" w:type="dxa"/>
          </w:tcPr>
          <w:p w14:paraId="678C28F8"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 xml:space="preserve">Application Number </w:t>
            </w:r>
          </w:p>
          <w:p w14:paraId="070C9CB8" w14:textId="77777777" w:rsidR="00525D98" w:rsidRPr="009205BB" w:rsidRDefault="00525D98" w:rsidP="009205BB">
            <w:pPr>
              <w:spacing w:after="0" w:line="240" w:lineRule="auto"/>
              <w:jc w:val="both"/>
              <w:rPr>
                <w:rFonts w:ascii="Arial" w:hAnsi="Arial" w:cs="Arial"/>
                <w:b/>
              </w:rPr>
            </w:pPr>
          </w:p>
        </w:tc>
        <w:tc>
          <w:tcPr>
            <w:tcW w:w="5873" w:type="dxa"/>
            <w:gridSpan w:val="2"/>
          </w:tcPr>
          <w:p w14:paraId="09E50488" w14:textId="2F790FBD" w:rsidR="00525D98" w:rsidRPr="008409C1" w:rsidRDefault="002F67BB" w:rsidP="001159AB">
            <w:pPr>
              <w:pStyle w:val="NoSpacing"/>
              <w:jc w:val="both"/>
              <w:rPr>
                <w:rFonts w:ascii="Arial" w:hAnsi="Arial" w:cs="Arial"/>
              </w:rPr>
            </w:pPr>
            <w:r w:rsidRPr="002F67BB">
              <w:rPr>
                <w:rFonts w:ascii="Arial" w:hAnsi="Arial" w:cs="Arial"/>
              </w:rPr>
              <w:t>DC/23/05656</w:t>
            </w:r>
            <w:r>
              <w:rPr>
                <w:rFonts w:ascii="Arial" w:hAnsi="Arial" w:cs="Arial"/>
              </w:rPr>
              <w:t xml:space="preserve"> - </w:t>
            </w:r>
            <w:r w:rsidRPr="002F67BB">
              <w:rPr>
                <w:rFonts w:ascii="Arial" w:hAnsi="Arial" w:cs="Arial"/>
              </w:rPr>
              <w:t xml:space="preserve">Land </w:t>
            </w:r>
            <w:proofErr w:type="gramStart"/>
            <w:r w:rsidRPr="002F67BB">
              <w:rPr>
                <w:rFonts w:ascii="Arial" w:hAnsi="Arial" w:cs="Arial"/>
              </w:rPr>
              <w:t>At</w:t>
            </w:r>
            <w:proofErr w:type="gramEnd"/>
            <w:r w:rsidRPr="002F67BB">
              <w:rPr>
                <w:rFonts w:ascii="Arial" w:hAnsi="Arial" w:cs="Arial"/>
              </w:rPr>
              <w:t xml:space="preserve"> Grove Farm And Land East Of The Railway Line, Bentley</w:t>
            </w:r>
          </w:p>
        </w:tc>
      </w:tr>
      <w:tr w:rsidR="00525D98" w:rsidRPr="009205BB" w14:paraId="395DB7CA" w14:textId="77777777" w:rsidTr="009205BB">
        <w:tc>
          <w:tcPr>
            <w:tcW w:w="392" w:type="dxa"/>
          </w:tcPr>
          <w:p w14:paraId="3381DCB0"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2</w:t>
            </w:r>
          </w:p>
        </w:tc>
        <w:tc>
          <w:tcPr>
            <w:tcW w:w="2977" w:type="dxa"/>
          </w:tcPr>
          <w:p w14:paraId="17FC287A"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 xml:space="preserve">Date of Response </w:t>
            </w:r>
          </w:p>
          <w:p w14:paraId="3FA9904F" w14:textId="77777777" w:rsidR="00525D98" w:rsidRPr="009205BB" w:rsidRDefault="00525D98" w:rsidP="009205BB">
            <w:pPr>
              <w:spacing w:after="0" w:line="240" w:lineRule="auto"/>
              <w:jc w:val="both"/>
              <w:rPr>
                <w:rFonts w:ascii="Arial" w:hAnsi="Arial" w:cs="Arial"/>
                <w:b/>
              </w:rPr>
            </w:pPr>
          </w:p>
        </w:tc>
        <w:tc>
          <w:tcPr>
            <w:tcW w:w="5873" w:type="dxa"/>
            <w:gridSpan w:val="2"/>
          </w:tcPr>
          <w:p w14:paraId="6712052F" w14:textId="14F515BC" w:rsidR="00525D98" w:rsidRPr="009205BB" w:rsidRDefault="00A56581" w:rsidP="009205BB">
            <w:pPr>
              <w:spacing w:after="0" w:line="240" w:lineRule="auto"/>
              <w:rPr>
                <w:rFonts w:ascii="Arial" w:hAnsi="Arial" w:cs="Arial"/>
              </w:rPr>
            </w:pPr>
            <w:r>
              <w:rPr>
                <w:rFonts w:ascii="Arial" w:hAnsi="Arial" w:cs="Arial"/>
              </w:rPr>
              <w:t>8</w:t>
            </w:r>
            <w:r w:rsidRPr="00A56581">
              <w:rPr>
                <w:rFonts w:ascii="Arial" w:hAnsi="Arial" w:cs="Arial"/>
                <w:vertAlign w:val="superscript"/>
              </w:rPr>
              <w:t>th</w:t>
            </w:r>
            <w:r>
              <w:rPr>
                <w:rFonts w:ascii="Arial" w:hAnsi="Arial" w:cs="Arial"/>
              </w:rPr>
              <w:t xml:space="preserve"> January 2024</w:t>
            </w:r>
          </w:p>
        </w:tc>
      </w:tr>
      <w:tr w:rsidR="00525D98" w:rsidRPr="009205BB" w14:paraId="6960B008" w14:textId="77777777" w:rsidTr="00925E53">
        <w:trPr>
          <w:trHeight w:val="255"/>
        </w:trPr>
        <w:tc>
          <w:tcPr>
            <w:tcW w:w="392" w:type="dxa"/>
            <w:vMerge w:val="restart"/>
          </w:tcPr>
          <w:p w14:paraId="5B608072"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3</w:t>
            </w:r>
          </w:p>
        </w:tc>
        <w:tc>
          <w:tcPr>
            <w:tcW w:w="2977" w:type="dxa"/>
            <w:vMerge w:val="restart"/>
          </w:tcPr>
          <w:p w14:paraId="202C7ADF" w14:textId="77777777" w:rsidR="00525D98" w:rsidRPr="009205BB" w:rsidRDefault="00525D98" w:rsidP="009205BB">
            <w:pPr>
              <w:spacing w:after="0" w:line="240" w:lineRule="auto"/>
              <w:jc w:val="both"/>
              <w:rPr>
                <w:rFonts w:ascii="Arial" w:hAnsi="Arial" w:cs="Arial"/>
                <w:b/>
              </w:rPr>
            </w:pPr>
            <w:r w:rsidRPr="009205BB">
              <w:rPr>
                <w:rFonts w:ascii="Arial" w:hAnsi="Arial" w:cs="Arial"/>
                <w:b/>
              </w:rPr>
              <w:t xml:space="preserve">Responding Officer </w:t>
            </w:r>
          </w:p>
          <w:p w14:paraId="65726E3D" w14:textId="77777777" w:rsidR="00525D98" w:rsidRPr="009205BB" w:rsidRDefault="00525D98" w:rsidP="009205BB">
            <w:pPr>
              <w:spacing w:after="0" w:line="240" w:lineRule="auto"/>
              <w:jc w:val="both"/>
              <w:rPr>
                <w:rFonts w:ascii="Arial" w:hAnsi="Arial" w:cs="Arial"/>
                <w:b/>
              </w:rPr>
            </w:pPr>
          </w:p>
        </w:tc>
        <w:tc>
          <w:tcPr>
            <w:tcW w:w="3118" w:type="dxa"/>
          </w:tcPr>
          <w:p w14:paraId="71FC00F6" w14:textId="77777777" w:rsidR="00525D98" w:rsidRPr="009205BB" w:rsidRDefault="00525D98" w:rsidP="009205BB">
            <w:pPr>
              <w:spacing w:after="0" w:line="240" w:lineRule="auto"/>
              <w:jc w:val="both"/>
              <w:rPr>
                <w:rFonts w:ascii="Arial" w:hAnsi="Arial" w:cs="Arial"/>
              </w:rPr>
            </w:pPr>
            <w:r w:rsidRPr="009205BB">
              <w:rPr>
                <w:rFonts w:ascii="Arial" w:hAnsi="Arial" w:cs="Arial"/>
              </w:rPr>
              <w:t>Name:</w:t>
            </w:r>
          </w:p>
        </w:tc>
        <w:tc>
          <w:tcPr>
            <w:tcW w:w="2755" w:type="dxa"/>
          </w:tcPr>
          <w:p w14:paraId="6BBDBF4C" w14:textId="56D47D27" w:rsidR="00525D98" w:rsidRPr="009205BB" w:rsidRDefault="00141475" w:rsidP="009205BB">
            <w:pPr>
              <w:spacing w:after="0" w:line="240" w:lineRule="auto"/>
              <w:rPr>
                <w:rFonts w:ascii="Arial" w:hAnsi="Arial" w:cs="Arial"/>
              </w:rPr>
            </w:pPr>
            <w:r>
              <w:rPr>
                <w:rFonts w:ascii="Arial" w:hAnsi="Arial" w:cs="Arial"/>
              </w:rPr>
              <w:t>Lucy Birch</w:t>
            </w:r>
          </w:p>
        </w:tc>
      </w:tr>
      <w:tr w:rsidR="00525D98" w:rsidRPr="009205BB" w14:paraId="7C89073F" w14:textId="77777777" w:rsidTr="00925E53">
        <w:trPr>
          <w:trHeight w:val="255"/>
        </w:trPr>
        <w:tc>
          <w:tcPr>
            <w:tcW w:w="392" w:type="dxa"/>
            <w:vMerge/>
          </w:tcPr>
          <w:p w14:paraId="3D4E12A0" w14:textId="77777777" w:rsidR="00525D98" w:rsidRPr="009205BB" w:rsidRDefault="00525D98" w:rsidP="009205BB">
            <w:pPr>
              <w:spacing w:after="0" w:line="240" w:lineRule="auto"/>
              <w:jc w:val="both"/>
              <w:rPr>
                <w:rFonts w:ascii="Arial" w:hAnsi="Arial" w:cs="Arial"/>
                <w:b/>
              </w:rPr>
            </w:pPr>
          </w:p>
        </w:tc>
        <w:tc>
          <w:tcPr>
            <w:tcW w:w="2977" w:type="dxa"/>
            <w:vMerge/>
          </w:tcPr>
          <w:p w14:paraId="772D574B" w14:textId="77777777" w:rsidR="00525D98" w:rsidRPr="009205BB" w:rsidRDefault="00525D98" w:rsidP="009205BB">
            <w:pPr>
              <w:spacing w:after="0" w:line="240" w:lineRule="auto"/>
              <w:jc w:val="both"/>
              <w:rPr>
                <w:rFonts w:ascii="Arial" w:hAnsi="Arial" w:cs="Arial"/>
                <w:b/>
              </w:rPr>
            </w:pPr>
          </w:p>
        </w:tc>
        <w:tc>
          <w:tcPr>
            <w:tcW w:w="3118" w:type="dxa"/>
          </w:tcPr>
          <w:p w14:paraId="217AC9EA" w14:textId="77777777" w:rsidR="00525D98" w:rsidRPr="009205BB" w:rsidRDefault="00525D98" w:rsidP="009205BB">
            <w:pPr>
              <w:spacing w:after="0" w:line="240" w:lineRule="auto"/>
              <w:jc w:val="both"/>
              <w:rPr>
                <w:rFonts w:ascii="Arial" w:hAnsi="Arial" w:cs="Arial"/>
              </w:rPr>
            </w:pPr>
            <w:r w:rsidRPr="009205BB">
              <w:rPr>
                <w:rFonts w:ascii="Arial" w:hAnsi="Arial" w:cs="Arial"/>
              </w:rPr>
              <w:t xml:space="preserve">Job Title: </w:t>
            </w:r>
          </w:p>
        </w:tc>
        <w:tc>
          <w:tcPr>
            <w:tcW w:w="2755" w:type="dxa"/>
          </w:tcPr>
          <w:p w14:paraId="7EA0DE9C" w14:textId="30D225F3" w:rsidR="00525D98" w:rsidRPr="009205BB" w:rsidRDefault="00660CF6" w:rsidP="009205BB">
            <w:pPr>
              <w:spacing w:after="0" w:line="240" w:lineRule="auto"/>
              <w:rPr>
                <w:rFonts w:ascii="Arial" w:hAnsi="Arial" w:cs="Arial"/>
              </w:rPr>
            </w:pPr>
            <w:r>
              <w:rPr>
                <w:rFonts w:ascii="Arial" w:hAnsi="Arial" w:cs="Arial"/>
              </w:rPr>
              <w:t>Heritage Officer</w:t>
            </w:r>
          </w:p>
        </w:tc>
      </w:tr>
      <w:tr w:rsidR="00525D98" w:rsidRPr="009205BB" w14:paraId="42D530DB" w14:textId="77777777" w:rsidTr="00925E53">
        <w:trPr>
          <w:trHeight w:val="255"/>
        </w:trPr>
        <w:tc>
          <w:tcPr>
            <w:tcW w:w="392" w:type="dxa"/>
            <w:vMerge/>
          </w:tcPr>
          <w:p w14:paraId="2FE7F067" w14:textId="77777777" w:rsidR="00525D98" w:rsidRPr="009205BB" w:rsidRDefault="00525D98" w:rsidP="009205BB">
            <w:pPr>
              <w:spacing w:after="0" w:line="240" w:lineRule="auto"/>
              <w:jc w:val="both"/>
              <w:rPr>
                <w:rFonts w:ascii="Arial" w:hAnsi="Arial" w:cs="Arial"/>
                <w:b/>
              </w:rPr>
            </w:pPr>
          </w:p>
        </w:tc>
        <w:tc>
          <w:tcPr>
            <w:tcW w:w="2977" w:type="dxa"/>
            <w:vMerge/>
          </w:tcPr>
          <w:p w14:paraId="6FFE6446" w14:textId="77777777" w:rsidR="00525D98" w:rsidRPr="009205BB" w:rsidRDefault="00525D98" w:rsidP="009205BB">
            <w:pPr>
              <w:spacing w:after="0" w:line="240" w:lineRule="auto"/>
              <w:jc w:val="both"/>
              <w:rPr>
                <w:rFonts w:ascii="Arial" w:hAnsi="Arial" w:cs="Arial"/>
                <w:b/>
              </w:rPr>
            </w:pPr>
          </w:p>
        </w:tc>
        <w:tc>
          <w:tcPr>
            <w:tcW w:w="3118" w:type="dxa"/>
          </w:tcPr>
          <w:p w14:paraId="0D59CEDD" w14:textId="77777777" w:rsidR="00525D98" w:rsidRPr="009205BB" w:rsidRDefault="00525D98" w:rsidP="009205BB">
            <w:pPr>
              <w:spacing w:after="0" w:line="240" w:lineRule="auto"/>
              <w:rPr>
                <w:rFonts w:ascii="Arial" w:hAnsi="Arial" w:cs="Arial"/>
              </w:rPr>
            </w:pPr>
            <w:r w:rsidRPr="009205BB">
              <w:rPr>
                <w:rFonts w:ascii="Arial" w:hAnsi="Arial" w:cs="Arial"/>
              </w:rPr>
              <w:t>Responding on behalf of</w:t>
            </w:r>
            <w:r w:rsidR="00D45B02" w:rsidRPr="009205BB">
              <w:rPr>
                <w:rFonts w:ascii="Arial" w:hAnsi="Arial" w:cs="Arial"/>
              </w:rPr>
              <w:t>...</w:t>
            </w:r>
            <w:r w:rsidRPr="009205BB">
              <w:rPr>
                <w:rFonts w:ascii="Arial" w:hAnsi="Arial" w:cs="Arial"/>
              </w:rPr>
              <w:t xml:space="preserve"> </w:t>
            </w:r>
          </w:p>
        </w:tc>
        <w:tc>
          <w:tcPr>
            <w:tcW w:w="2755" w:type="dxa"/>
          </w:tcPr>
          <w:p w14:paraId="4961AA75" w14:textId="3D743243" w:rsidR="00525D98" w:rsidRPr="009205BB" w:rsidRDefault="00660CF6" w:rsidP="009205BB">
            <w:pPr>
              <w:spacing w:after="0" w:line="240" w:lineRule="auto"/>
              <w:rPr>
                <w:rFonts w:ascii="Arial" w:hAnsi="Arial" w:cs="Arial"/>
              </w:rPr>
            </w:pPr>
            <w:r>
              <w:rPr>
                <w:rFonts w:ascii="Arial" w:hAnsi="Arial" w:cs="Arial"/>
              </w:rPr>
              <w:t>Heritage Team</w:t>
            </w:r>
          </w:p>
        </w:tc>
      </w:tr>
      <w:tr w:rsidR="00525D98" w:rsidRPr="009205BB" w14:paraId="2BE823E1" w14:textId="77777777" w:rsidTr="009205BB">
        <w:tc>
          <w:tcPr>
            <w:tcW w:w="392" w:type="dxa"/>
          </w:tcPr>
          <w:p w14:paraId="07C0200C" w14:textId="77777777" w:rsidR="00525D98" w:rsidRPr="009205BB" w:rsidRDefault="00525D98" w:rsidP="009205BB">
            <w:pPr>
              <w:spacing w:after="0" w:line="240" w:lineRule="auto"/>
              <w:rPr>
                <w:rFonts w:ascii="Arial" w:hAnsi="Arial" w:cs="Arial"/>
                <w:b/>
              </w:rPr>
            </w:pPr>
            <w:r w:rsidRPr="009205BB">
              <w:rPr>
                <w:rFonts w:ascii="Arial" w:hAnsi="Arial" w:cs="Arial"/>
                <w:b/>
              </w:rPr>
              <w:t>4</w:t>
            </w:r>
          </w:p>
        </w:tc>
        <w:tc>
          <w:tcPr>
            <w:tcW w:w="2977" w:type="dxa"/>
          </w:tcPr>
          <w:p w14:paraId="709A21B5" w14:textId="77777777" w:rsidR="00525D98" w:rsidRPr="009205BB" w:rsidRDefault="005F6472" w:rsidP="009205BB">
            <w:pPr>
              <w:spacing w:after="0" w:line="240" w:lineRule="auto"/>
              <w:rPr>
                <w:rFonts w:ascii="Arial" w:hAnsi="Arial" w:cs="Arial"/>
                <w:b/>
              </w:rPr>
            </w:pPr>
            <w:r>
              <w:rPr>
                <w:rFonts w:ascii="Arial" w:hAnsi="Arial" w:cs="Arial"/>
                <w:b/>
              </w:rPr>
              <w:t xml:space="preserve">Summary and </w:t>
            </w:r>
            <w:r w:rsidR="00525D98" w:rsidRPr="009205BB">
              <w:rPr>
                <w:rFonts w:ascii="Arial" w:hAnsi="Arial" w:cs="Arial"/>
                <w:b/>
              </w:rPr>
              <w:t>Recommendation</w:t>
            </w:r>
          </w:p>
          <w:p w14:paraId="1AB2D887" w14:textId="77777777" w:rsidR="00525D98" w:rsidRPr="009205BB" w:rsidRDefault="00525D98" w:rsidP="001159AB">
            <w:pPr>
              <w:spacing w:after="0" w:line="240" w:lineRule="auto"/>
              <w:rPr>
                <w:rFonts w:ascii="Arial" w:hAnsi="Arial" w:cs="Arial"/>
              </w:rPr>
            </w:pPr>
          </w:p>
        </w:tc>
        <w:tc>
          <w:tcPr>
            <w:tcW w:w="5873" w:type="dxa"/>
            <w:gridSpan w:val="2"/>
          </w:tcPr>
          <w:p w14:paraId="55C14965" w14:textId="4BB00CC4" w:rsidR="00AC3391" w:rsidRPr="005F6472" w:rsidRDefault="00AC3391" w:rsidP="00AC3391">
            <w:pPr>
              <w:pStyle w:val="ListParagraph"/>
              <w:numPr>
                <w:ilvl w:val="0"/>
                <w:numId w:val="1"/>
              </w:numPr>
              <w:spacing w:line="240" w:lineRule="auto"/>
              <w:rPr>
                <w:rFonts w:ascii="Arial" w:hAnsi="Arial" w:cs="Arial"/>
              </w:rPr>
            </w:pPr>
            <w:r>
              <w:rPr>
                <w:rFonts w:ascii="Arial" w:hAnsi="Arial" w:cs="Arial"/>
              </w:rPr>
              <w:t xml:space="preserve">I </w:t>
            </w:r>
            <w:r w:rsidRPr="005F6472">
              <w:rPr>
                <w:rFonts w:ascii="Arial" w:hAnsi="Arial" w:cs="Arial"/>
              </w:rPr>
              <w:t xml:space="preserve">consider that the proposal would </w:t>
            </w:r>
            <w:r>
              <w:rPr>
                <w:rFonts w:ascii="Arial" w:hAnsi="Arial" w:cs="Arial"/>
              </w:rPr>
              <w:t xml:space="preserve">cause a </w:t>
            </w:r>
            <w:r w:rsidR="0025186D">
              <w:rPr>
                <w:rFonts w:ascii="Arial" w:hAnsi="Arial" w:cs="Arial"/>
              </w:rPr>
              <w:t>low to medium</w:t>
            </w:r>
            <w:r>
              <w:rPr>
                <w:rFonts w:ascii="Arial" w:hAnsi="Arial" w:cs="Arial"/>
              </w:rPr>
              <w:t xml:space="preserve"> level of less than substantial harm to the </w:t>
            </w:r>
            <w:r w:rsidR="0025186D">
              <w:rPr>
                <w:rFonts w:ascii="Arial" w:hAnsi="Arial" w:cs="Arial"/>
              </w:rPr>
              <w:t>significance and setting</w:t>
            </w:r>
            <w:r>
              <w:rPr>
                <w:rFonts w:ascii="Arial" w:hAnsi="Arial" w:cs="Arial"/>
              </w:rPr>
              <w:t xml:space="preserve"> </w:t>
            </w:r>
            <w:r w:rsidR="009C447F">
              <w:rPr>
                <w:rFonts w:ascii="Arial" w:hAnsi="Arial" w:cs="Arial"/>
              </w:rPr>
              <w:t xml:space="preserve">of </w:t>
            </w:r>
            <w:r w:rsidR="0025186D">
              <w:rPr>
                <w:rFonts w:ascii="Arial" w:hAnsi="Arial" w:cs="Arial"/>
              </w:rPr>
              <w:t xml:space="preserve">designated and non-designated heritage assets </w:t>
            </w:r>
            <w:r>
              <w:rPr>
                <w:rFonts w:ascii="Arial" w:hAnsi="Arial" w:cs="Arial"/>
              </w:rPr>
              <w:t xml:space="preserve">due to </w:t>
            </w:r>
            <w:r w:rsidR="004D719A">
              <w:rPr>
                <w:rFonts w:ascii="Arial" w:hAnsi="Arial" w:cs="Arial"/>
              </w:rPr>
              <w:t>the change of character of the site from rural to industrial.</w:t>
            </w:r>
          </w:p>
          <w:p w14:paraId="73299768" w14:textId="11080F94" w:rsidR="00AC3391" w:rsidRPr="005F6472" w:rsidRDefault="00AC3391" w:rsidP="00AC3391">
            <w:pPr>
              <w:pStyle w:val="ListParagraph"/>
              <w:numPr>
                <w:ilvl w:val="0"/>
                <w:numId w:val="1"/>
              </w:numPr>
              <w:spacing w:line="240" w:lineRule="auto"/>
              <w:rPr>
                <w:rFonts w:ascii="Arial" w:hAnsi="Arial" w:cs="Arial"/>
              </w:rPr>
            </w:pPr>
            <w:r>
              <w:rPr>
                <w:rFonts w:ascii="Arial" w:hAnsi="Arial" w:cs="Arial"/>
              </w:rPr>
              <w:t>I</w:t>
            </w:r>
            <w:r w:rsidRPr="005F6472">
              <w:rPr>
                <w:rFonts w:ascii="Arial" w:hAnsi="Arial" w:cs="Arial"/>
              </w:rPr>
              <w:t xml:space="preserve"> recommend that </w:t>
            </w:r>
            <w:r w:rsidR="004D719A">
              <w:rPr>
                <w:rFonts w:ascii="Arial" w:hAnsi="Arial" w:cs="Arial"/>
              </w:rPr>
              <w:t>clarification on the historic relationship between the site and the Bentley Hall group is provided.</w:t>
            </w:r>
          </w:p>
          <w:p w14:paraId="6EDCE91E" w14:textId="77777777" w:rsidR="009205BB" w:rsidRPr="009205BB" w:rsidRDefault="009205BB" w:rsidP="0025186D">
            <w:pPr>
              <w:spacing w:after="0" w:line="240" w:lineRule="auto"/>
              <w:rPr>
                <w:rFonts w:ascii="Arial" w:hAnsi="Arial" w:cs="Arial"/>
              </w:rPr>
            </w:pPr>
          </w:p>
        </w:tc>
      </w:tr>
      <w:tr w:rsidR="00525D98" w:rsidRPr="009205BB" w14:paraId="6CF022C4" w14:textId="77777777" w:rsidTr="009205BB">
        <w:tc>
          <w:tcPr>
            <w:tcW w:w="392" w:type="dxa"/>
          </w:tcPr>
          <w:p w14:paraId="03B52B82" w14:textId="77777777" w:rsidR="00525D98" w:rsidRPr="009205BB" w:rsidRDefault="00525D98" w:rsidP="009205BB">
            <w:pPr>
              <w:spacing w:after="0" w:line="240" w:lineRule="auto"/>
              <w:rPr>
                <w:rFonts w:ascii="Arial" w:hAnsi="Arial" w:cs="Arial"/>
              </w:rPr>
            </w:pPr>
            <w:r w:rsidRPr="009205BB">
              <w:rPr>
                <w:rFonts w:ascii="Arial" w:hAnsi="Arial" w:cs="Arial"/>
              </w:rPr>
              <w:t>5</w:t>
            </w:r>
          </w:p>
        </w:tc>
        <w:tc>
          <w:tcPr>
            <w:tcW w:w="2977" w:type="dxa"/>
          </w:tcPr>
          <w:p w14:paraId="5852D99D" w14:textId="77777777" w:rsidR="00525D98" w:rsidRPr="009205BB" w:rsidRDefault="00525D98" w:rsidP="009205BB">
            <w:pPr>
              <w:spacing w:after="0" w:line="240" w:lineRule="auto"/>
              <w:rPr>
                <w:rFonts w:ascii="Arial" w:hAnsi="Arial" w:cs="Arial"/>
              </w:rPr>
            </w:pPr>
            <w:r w:rsidRPr="009205BB">
              <w:rPr>
                <w:rFonts w:ascii="Arial" w:hAnsi="Arial" w:cs="Arial"/>
                <w:b/>
              </w:rPr>
              <w:t xml:space="preserve">Discussion </w:t>
            </w:r>
          </w:p>
          <w:p w14:paraId="4841B05B" w14:textId="77777777" w:rsidR="00015791" w:rsidRPr="009205BB" w:rsidRDefault="00015791" w:rsidP="001159AB">
            <w:pPr>
              <w:spacing w:after="0" w:line="240" w:lineRule="auto"/>
              <w:rPr>
                <w:rFonts w:ascii="Arial" w:hAnsi="Arial" w:cs="Arial"/>
              </w:rPr>
            </w:pPr>
          </w:p>
        </w:tc>
        <w:tc>
          <w:tcPr>
            <w:tcW w:w="5873" w:type="dxa"/>
            <w:gridSpan w:val="2"/>
          </w:tcPr>
          <w:p w14:paraId="49DFE1CC" w14:textId="0F52AE56" w:rsidR="00047332" w:rsidRDefault="00047332" w:rsidP="00D159E7">
            <w:pPr>
              <w:spacing w:after="0" w:line="240" w:lineRule="auto"/>
              <w:rPr>
                <w:rFonts w:ascii="Arial" w:hAnsi="Arial" w:cs="Arial"/>
              </w:rPr>
            </w:pPr>
            <w:r>
              <w:rPr>
                <w:rFonts w:ascii="Arial" w:hAnsi="Arial" w:cs="Arial"/>
              </w:rPr>
              <w:t xml:space="preserve">The proposal is for the construction of a large solar farm with ancillary infrastructure and vehicular accesses, with the proposed site comprising of two agricultural fields located east and west of Church Road and </w:t>
            </w:r>
            <w:r w:rsidR="003F655A">
              <w:rPr>
                <w:rFonts w:ascii="Arial" w:hAnsi="Arial" w:cs="Arial"/>
              </w:rPr>
              <w:t>n</w:t>
            </w:r>
            <w:r>
              <w:rPr>
                <w:rFonts w:ascii="Arial" w:hAnsi="Arial" w:cs="Arial"/>
              </w:rPr>
              <w:t>orth of Potash Lane.</w:t>
            </w:r>
          </w:p>
          <w:p w14:paraId="55670E05" w14:textId="77777777" w:rsidR="00047332" w:rsidRDefault="00047332" w:rsidP="00D159E7">
            <w:pPr>
              <w:spacing w:after="0" w:line="240" w:lineRule="auto"/>
              <w:rPr>
                <w:rFonts w:ascii="Arial" w:hAnsi="Arial" w:cs="Arial"/>
              </w:rPr>
            </w:pPr>
          </w:p>
          <w:p w14:paraId="07A541DF" w14:textId="7EA840FD" w:rsidR="00047332" w:rsidRDefault="00047332" w:rsidP="00D159E7">
            <w:pPr>
              <w:spacing w:after="0" w:line="240" w:lineRule="auto"/>
              <w:rPr>
                <w:rFonts w:ascii="Arial" w:hAnsi="Arial" w:cs="Arial"/>
              </w:rPr>
            </w:pPr>
            <w:r>
              <w:rPr>
                <w:rFonts w:ascii="Arial" w:hAnsi="Arial" w:cs="Arial"/>
              </w:rPr>
              <w:t>A limited site visit was carried out by a Heritage Officer at pre-application (DC/22/03371</w:t>
            </w:r>
            <w:proofErr w:type="gramStart"/>
            <w:r>
              <w:rPr>
                <w:rFonts w:ascii="Arial" w:hAnsi="Arial" w:cs="Arial"/>
              </w:rPr>
              <w:t>),</w:t>
            </w:r>
            <w:proofErr w:type="gramEnd"/>
            <w:r>
              <w:rPr>
                <w:rFonts w:ascii="Arial" w:hAnsi="Arial" w:cs="Arial"/>
              </w:rPr>
              <w:t xml:space="preserve"> however the current comments are desk-based.</w:t>
            </w:r>
          </w:p>
          <w:p w14:paraId="5EA5289A" w14:textId="77777777" w:rsidR="00047332" w:rsidRDefault="00047332" w:rsidP="00D159E7">
            <w:pPr>
              <w:spacing w:after="0" w:line="240" w:lineRule="auto"/>
              <w:rPr>
                <w:rFonts w:ascii="Arial" w:hAnsi="Arial" w:cs="Arial"/>
              </w:rPr>
            </w:pPr>
          </w:p>
          <w:p w14:paraId="6440FEAE" w14:textId="0A639174" w:rsidR="00047332" w:rsidRDefault="00047332" w:rsidP="00D159E7">
            <w:pPr>
              <w:spacing w:after="0" w:line="240" w:lineRule="auto"/>
              <w:rPr>
                <w:rFonts w:ascii="Arial" w:hAnsi="Arial" w:cs="Arial"/>
                <w:b/>
                <w:bCs/>
              </w:rPr>
            </w:pPr>
            <w:r>
              <w:rPr>
                <w:rFonts w:ascii="Arial" w:hAnsi="Arial" w:cs="Arial"/>
                <w:b/>
                <w:bCs/>
              </w:rPr>
              <w:t>Constraints</w:t>
            </w:r>
          </w:p>
          <w:p w14:paraId="3F97848D" w14:textId="066D4736" w:rsidR="00047332" w:rsidRDefault="00047332" w:rsidP="00D159E7">
            <w:pPr>
              <w:spacing w:after="0" w:line="240" w:lineRule="auto"/>
              <w:rPr>
                <w:rFonts w:ascii="Arial" w:hAnsi="Arial" w:cs="Arial"/>
                <w:b/>
                <w:bCs/>
              </w:rPr>
            </w:pPr>
            <w:r w:rsidRPr="007254E4">
              <w:rPr>
                <w:rFonts w:ascii="Arial" w:hAnsi="Arial" w:cs="Arial"/>
              </w:rPr>
              <w:t xml:space="preserve">The proposed development has the potential to affect </w:t>
            </w:r>
            <w:proofErr w:type="gramStart"/>
            <w:r w:rsidRPr="007254E4">
              <w:rPr>
                <w:rFonts w:ascii="Arial" w:hAnsi="Arial" w:cs="Arial"/>
              </w:rPr>
              <w:t>a number of</w:t>
            </w:r>
            <w:proofErr w:type="gramEnd"/>
            <w:r w:rsidRPr="007254E4">
              <w:rPr>
                <w:rFonts w:ascii="Arial" w:hAnsi="Arial" w:cs="Arial"/>
              </w:rPr>
              <w:t xml:space="preserve"> </w:t>
            </w:r>
            <w:r w:rsidR="007254E4">
              <w:rPr>
                <w:rFonts w:ascii="Arial" w:hAnsi="Arial" w:cs="Arial"/>
              </w:rPr>
              <w:t>designated and non-designated heritage assets.</w:t>
            </w:r>
          </w:p>
          <w:p w14:paraId="79FE0298" w14:textId="77777777" w:rsidR="00047332" w:rsidRDefault="00047332" w:rsidP="00D159E7">
            <w:pPr>
              <w:spacing w:after="0" w:line="240" w:lineRule="auto"/>
              <w:rPr>
                <w:rFonts w:ascii="Arial" w:hAnsi="Arial" w:cs="Arial"/>
                <w:b/>
                <w:bCs/>
              </w:rPr>
            </w:pPr>
          </w:p>
          <w:p w14:paraId="151F9785" w14:textId="4BCC744E" w:rsidR="00047332" w:rsidRDefault="00047332" w:rsidP="00D159E7">
            <w:pPr>
              <w:spacing w:after="0" w:line="240" w:lineRule="auto"/>
              <w:rPr>
                <w:rFonts w:ascii="Arial" w:hAnsi="Arial" w:cs="Arial"/>
              </w:rPr>
            </w:pPr>
            <w:r>
              <w:rPr>
                <w:rFonts w:ascii="Arial" w:hAnsi="Arial" w:cs="Arial"/>
              </w:rPr>
              <w:t xml:space="preserve">There are several listed buildings to the </w:t>
            </w:r>
            <w:r w:rsidR="003F655A">
              <w:rPr>
                <w:rFonts w:ascii="Arial" w:hAnsi="Arial" w:cs="Arial"/>
              </w:rPr>
              <w:t>n</w:t>
            </w:r>
            <w:r>
              <w:rPr>
                <w:rFonts w:ascii="Arial" w:hAnsi="Arial" w:cs="Arial"/>
              </w:rPr>
              <w:t>orth of the western site with the closest being the Grade II* Listed Church of St Mary, a parish church with a nave of 12</w:t>
            </w:r>
            <w:r w:rsidRPr="00047332">
              <w:rPr>
                <w:rFonts w:ascii="Arial" w:hAnsi="Arial" w:cs="Arial"/>
                <w:vertAlign w:val="superscript"/>
              </w:rPr>
              <w:t>th</w:t>
            </w:r>
            <w:r>
              <w:rPr>
                <w:rFonts w:ascii="Arial" w:hAnsi="Arial" w:cs="Arial"/>
              </w:rPr>
              <w:t xml:space="preserve"> Century origin, a 14</w:t>
            </w:r>
            <w:r w:rsidRPr="00047332">
              <w:rPr>
                <w:rFonts w:ascii="Arial" w:hAnsi="Arial" w:cs="Arial"/>
                <w:vertAlign w:val="superscript"/>
              </w:rPr>
              <w:t>th</w:t>
            </w:r>
            <w:r>
              <w:rPr>
                <w:rFonts w:ascii="Arial" w:hAnsi="Arial" w:cs="Arial"/>
              </w:rPr>
              <w:t xml:space="preserve"> Century west tower and south porch, and a </w:t>
            </w:r>
            <w:proofErr w:type="spellStart"/>
            <w:r>
              <w:rPr>
                <w:rFonts w:ascii="Arial" w:hAnsi="Arial" w:cs="Arial"/>
              </w:rPr>
              <w:t>chancel</w:t>
            </w:r>
            <w:proofErr w:type="spellEnd"/>
            <w:r>
              <w:rPr>
                <w:rFonts w:ascii="Arial" w:hAnsi="Arial" w:cs="Arial"/>
              </w:rPr>
              <w:t xml:space="preserve"> of approximately 14</w:t>
            </w:r>
            <w:r w:rsidRPr="00047332">
              <w:rPr>
                <w:rFonts w:ascii="Arial" w:hAnsi="Arial" w:cs="Arial"/>
                <w:vertAlign w:val="superscript"/>
              </w:rPr>
              <w:t>th</w:t>
            </w:r>
            <w:r>
              <w:rPr>
                <w:rFonts w:ascii="Arial" w:hAnsi="Arial" w:cs="Arial"/>
              </w:rPr>
              <w:t xml:space="preserve"> Century date. Various restorations were carried out in the 19</w:t>
            </w:r>
            <w:r w:rsidRPr="00047332">
              <w:rPr>
                <w:rFonts w:ascii="Arial" w:hAnsi="Arial" w:cs="Arial"/>
                <w:vertAlign w:val="superscript"/>
              </w:rPr>
              <w:t>th</w:t>
            </w:r>
            <w:r>
              <w:rPr>
                <w:rFonts w:ascii="Arial" w:hAnsi="Arial" w:cs="Arial"/>
              </w:rPr>
              <w:t xml:space="preserve"> Century. </w:t>
            </w:r>
            <w:r w:rsidR="00305DE8">
              <w:rPr>
                <w:rFonts w:ascii="Arial" w:hAnsi="Arial" w:cs="Arial"/>
              </w:rPr>
              <w:t>The church yard associated with the Church of St Mary is surrounded by dense planting, and the church tower can be seen as a landmark feature from the bounds of the site and within it.</w:t>
            </w:r>
          </w:p>
          <w:p w14:paraId="600987D7" w14:textId="77777777" w:rsidR="00047332" w:rsidRDefault="00047332" w:rsidP="00D159E7">
            <w:pPr>
              <w:spacing w:after="0" w:line="240" w:lineRule="auto"/>
              <w:rPr>
                <w:rFonts w:ascii="Arial" w:hAnsi="Arial" w:cs="Arial"/>
              </w:rPr>
            </w:pPr>
          </w:p>
          <w:p w14:paraId="57C2D8FA" w14:textId="4D7DCAEC" w:rsidR="00047332" w:rsidRDefault="00047332" w:rsidP="00D159E7">
            <w:pPr>
              <w:spacing w:after="0" w:line="240" w:lineRule="auto"/>
              <w:rPr>
                <w:rFonts w:ascii="Arial" w:hAnsi="Arial" w:cs="Arial"/>
              </w:rPr>
            </w:pPr>
            <w:r>
              <w:rPr>
                <w:rFonts w:ascii="Arial" w:hAnsi="Arial" w:cs="Arial"/>
              </w:rPr>
              <w:t xml:space="preserve">Further to the North are the Grade II* Listed Bentley Hall and the associated stables (separately listed), and Bentley Hall Barn, which was </w:t>
            </w:r>
            <w:proofErr w:type="gramStart"/>
            <w:r>
              <w:rPr>
                <w:rFonts w:ascii="Arial" w:hAnsi="Arial" w:cs="Arial"/>
              </w:rPr>
              <w:t>upgrade</w:t>
            </w:r>
            <w:proofErr w:type="gramEnd"/>
            <w:r>
              <w:rPr>
                <w:rFonts w:ascii="Arial" w:hAnsi="Arial" w:cs="Arial"/>
              </w:rPr>
              <w:t xml:space="preserve"> to Grade I Listed in 2022. </w:t>
            </w:r>
          </w:p>
          <w:p w14:paraId="0E40BEE4" w14:textId="77777777" w:rsidR="00047332" w:rsidRDefault="00047332" w:rsidP="00D159E7">
            <w:pPr>
              <w:spacing w:after="0" w:line="240" w:lineRule="auto"/>
              <w:rPr>
                <w:rFonts w:ascii="Arial" w:hAnsi="Arial" w:cs="Arial"/>
              </w:rPr>
            </w:pPr>
          </w:p>
          <w:p w14:paraId="2EE9591D" w14:textId="52225DCC" w:rsidR="00047332" w:rsidRDefault="00047332" w:rsidP="00D159E7">
            <w:pPr>
              <w:spacing w:after="0" w:line="240" w:lineRule="auto"/>
              <w:rPr>
                <w:rFonts w:ascii="Arial" w:hAnsi="Arial" w:cs="Arial"/>
              </w:rPr>
            </w:pPr>
            <w:r>
              <w:rPr>
                <w:rFonts w:ascii="Arial" w:hAnsi="Arial" w:cs="Arial"/>
              </w:rPr>
              <w:lastRenderedPageBreak/>
              <w:t xml:space="preserve">Bentley Hall and its associated outbuildings are one of the best preserved and historically significant Tudor manorial complexes in Britain. The Hall was the medieval seat of the Tollemache family, which established their seat at </w:t>
            </w:r>
            <w:proofErr w:type="spellStart"/>
            <w:r>
              <w:rPr>
                <w:rFonts w:ascii="Arial" w:hAnsi="Arial" w:cs="Arial"/>
              </w:rPr>
              <w:t>Helmingham</w:t>
            </w:r>
            <w:proofErr w:type="spellEnd"/>
            <w:r>
              <w:rPr>
                <w:rFonts w:ascii="Arial" w:hAnsi="Arial" w:cs="Arial"/>
              </w:rPr>
              <w:t xml:space="preserve"> Hall in the 16</w:t>
            </w:r>
            <w:r w:rsidRPr="00047332">
              <w:rPr>
                <w:rFonts w:ascii="Arial" w:hAnsi="Arial" w:cs="Arial"/>
                <w:vertAlign w:val="superscript"/>
              </w:rPr>
              <w:t>th</w:t>
            </w:r>
            <w:r>
              <w:rPr>
                <w:rFonts w:ascii="Arial" w:hAnsi="Arial" w:cs="Arial"/>
              </w:rPr>
              <w:t xml:space="preserve"> Century where the family remains. The earliest part of Bentley Hall dates to the early 15</w:t>
            </w:r>
            <w:r w:rsidRPr="00047332">
              <w:rPr>
                <w:rFonts w:ascii="Arial" w:hAnsi="Arial" w:cs="Arial"/>
                <w:vertAlign w:val="superscript"/>
              </w:rPr>
              <w:t>th</w:t>
            </w:r>
            <w:r>
              <w:rPr>
                <w:rFonts w:ascii="Arial" w:hAnsi="Arial" w:cs="Arial"/>
              </w:rPr>
              <w:t xml:space="preserve"> Century, but most of the building dates to the late 16</w:t>
            </w:r>
            <w:r w:rsidRPr="00047332">
              <w:rPr>
                <w:rFonts w:ascii="Arial" w:hAnsi="Arial" w:cs="Arial"/>
                <w:vertAlign w:val="superscript"/>
              </w:rPr>
              <w:t>th</w:t>
            </w:r>
            <w:r>
              <w:rPr>
                <w:rFonts w:ascii="Arial" w:hAnsi="Arial" w:cs="Arial"/>
              </w:rPr>
              <w:t xml:space="preserve"> Century when it was refurbished as a dower house. The stables, originally a brewhouse, are early 16</w:t>
            </w:r>
            <w:r w:rsidRPr="00047332">
              <w:rPr>
                <w:rFonts w:ascii="Arial" w:hAnsi="Arial" w:cs="Arial"/>
                <w:vertAlign w:val="superscript"/>
              </w:rPr>
              <w:t>th</w:t>
            </w:r>
            <w:r>
              <w:rPr>
                <w:rFonts w:ascii="Arial" w:hAnsi="Arial" w:cs="Arial"/>
              </w:rPr>
              <w:t xml:space="preserve"> Century, and the barn dates to the late 16</w:t>
            </w:r>
            <w:r w:rsidRPr="00047332">
              <w:rPr>
                <w:rFonts w:ascii="Arial" w:hAnsi="Arial" w:cs="Arial"/>
                <w:vertAlign w:val="superscript"/>
              </w:rPr>
              <w:t>th</w:t>
            </w:r>
            <w:r>
              <w:rPr>
                <w:rFonts w:ascii="Arial" w:hAnsi="Arial" w:cs="Arial"/>
              </w:rPr>
              <w:t xml:space="preserve"> Century.</w:t>
            </w:r>
          </w:p>
          <w:p w14:paraId="3DDC1F4B" w14:textId="77777777" w:rsidR="00047332" w:rsidRDefault="00047332" w:rsidP="00D159E7">
            <w:pPr>
              <w:spacing w:after="0" w:line="240" w:lineRule="auto"/>
              <w:rPr>
                <w:rFonts w:ascii="Arial" w:hAnsi="Arial" w:cs="Arial"/>
              </w:rPr>
            </w:pPr>
          </w:p>
          <w:p w14:paraId="3CC0C65A" w14:textId="226953EB" w:rsidR="00047332" w:rsidRDefault="00047332" w:rsidP="00D159E7">
            <w:pPr>
              <w:spacing w:after="0" w:line="240" w:lineRule="auto"/>
              <w:rPr>
                <w:rFonts w:ascii="Arial" w:hAnsi="Arial" w:cs="Arial"/>
              </w:rPr>
            </w:pPr>
            <w:r>
              <w:rPr>
                <w:rFonts w:ascii="Arial" w:hAnsi="Arial" w:cs="Arial"/>
              </w:rPr>
              <w:t xml:space="preserve">The landscape setting of the Bentley Hall group is known to be closely related to the historic seigneurial landscape of the Hall, with a grand avenue approach to the Hall from the </w:t>
            </w:r>
            <w:r w:rsidR="003F655A">
              <w:rPr>
                <w:rFonts w:ascii="Arial" w:hAnsi="Arial" w:cs="Arial"/>
              </w:rPr>
              <w:t>n</w:t>
            </w:r>
            <w:r>
              <w:rPr>
                <w:rFonts w:ascii="Arial" w:hAnsi="Arial" w:cs="Arial"/>
              </w:rPr>
              <w:t xml:space="preserve">orth, flanked by the large barn which would have been replicated on the western side of the road. This avenue is now Old Hall Lane. The group is highly significant, and the landscape setting makes a positive contribution to their significance. The landscape </w:t>
            </w:r>
            <w:r w:rsidR="003F655A">
              <w:rPr>
                <w:rFonts w:ascii="Arial" w:hAnsi="Arial" w:cs="Arial"/>
              </w:rPr>
              <w:t>n</w:t>
            </w:r>
            <w:r>
              <w:rPr>
                <w:rFonts w:ascii="Arial" w:hAnsi="Arial" w:cs="Arial"/>
              </w:rPr>
              <w:t>orth of the site is also identified as parkland associated with Bentley Park on historic, 19</w:t>
            </w:r>
            <w:r w:rsidRPr="00047332">
              <w:rPr>
                <w:rFonts w:ascii="Arial" w:hAnsi="Arial" w:cs="Arial"/>
                <w:vertAlign w:val="superscript"/>
              </w:rPr>
              <w:t>th</w:t>
            </w:r>
            <w:r>
              <w:rPr>
                <w:rFonts w:ascii="Arial" w:hAnsi="Arial" w:cs="Arial"/>
              </w:rPr>
              <w:t xml:space="preserve"> Century, OS maps.</w:t>
            </w:r>
          </w:p>
          <w:p w14:paraId="19AC1063" w14:textId="77777777" w:rsidR="003F655A" w:rsidRDefault="003F655A" w:rsidP="00D159E7">
            <w:pPr>
              <w:spacing w:after="0" w:line="240" w:lineRule="auto"/>
              <w:rPr>
                <w:rFonts w:ascii="Arial" w:hAnsi="Arial" w:cs="Arial"/>
              </w:rPr>
            </w:pPr>
          </w:p>
          <w:p w14:paraId="78DC34E9" w14:textId="034631B9" w:rsidR="003F655A" w:rsidRDefault="003F655A" w:rsidP="00D159E7">
            <w:pPr>
              <w:spacing w:after="0" w:line="240" w:lineRule="auto"/>
              <w:rPr>
                <w:rFonts w:ascii="Arial" w:hAnsi="Arial" w:cs="Arial"/>
              </w:rPr>
            </w:pPr>
            <w:r>
              <w:rPr>
                <w:rFonts w:ascii="Arial" w:hAnsi="Arial" w:cs="Arial"/>
              </w:rPr>
              <w:t>The addition of the railway in the mid-19</w:t>
            </w:r>
            <w:r w:rsidRPr="003F655A">
              <w:rPr>
                <w:rFonts w:ascii="Arial" w:hAnsi="Arial" w:cs="Arial"/>
                <w:vertAlign w:val="superscript"/>
              </w:rPr>
              <w:t>th</w:t>
            </w:r>
            <w:r>
              <w:rPr>
                <w:rFonts w:ascii="Arial" w:hAnsi="Arial" w:cs="Arial"/>
              </w:rPr>
              <w:t xml:space="preserve"> Century effectively cut off Bentley Hall from the Church. The section of rail connecting Bentley to Hadleigh was made redundant in the Beeching cuts, however its route and interchange can be seen on the ground, and the public footpath north of the site to the west of Church Road partly follows the route of the dismantled railway line. A bridleway bounds the west side of the western site, and the network is connected to rights of way moving through the landscapes of Bentley Park and Bentley Hall. The network carries through to the road network and across the current railway line to Maltings House to the east, and a loose group of Grade II listed buildings including Maltings Farm and Maltings Cottage.</w:t>
            </w:r>
            <w:r w:rsidR="00305DE8">
              <w:rPr>
                <w:rFonts w:ascii="Arial" w:hAnsi="Arial" w:cs="Arial"/>
              </w:rPr>
              <w:t xml:space="preserve"> </w:t>
            </w:r>
            <w:r>
              <w:rPr>
                <w:rFonts w:ascii="Arial" w:hAnsi="Arial" w:cs="Arial"/>
              </w:rPr>
              <w:t xml:space="preserve">It is therefore </w:t>
            </w:r>
            <w:r w:rsidR="00305DE8">
              <w:rPr>
                <w:rFonts w:ascii="Arial" w:hAnsi="Arial" w:cs="Arial"/>
              </w:rPr>
              <w:t>highly likely that the application site(s) will be widely experienced in the context of the historic landscape settings of the listed assets whilst using the public right of way network.</w:t>
            </w:r>
          </w:p>
          <w:p w14:paraId="0FE8D048" w14:textId="77777777" w:rsidR="00305DE8" w:rsidRDefault="00305DE8" w:rsidP="00D159E7">
            <w:pPr>
              <w:spacing w:after="0" w:line="240" w:lineRule="auto"/>
              <w:rPr>
                <w:rFonts w:ascii="Arial" w:hAnsi="Arial" w:cs="Arial"/>
              </w:rPr>
            </w:pPr>
          </w:p>
          <w:p w14:paraId="199BFAE6" w14:textId="6161EF38" w:rsidR="00305DE8" w:rsidRDefault="00305DE8" w:rsidP="00D159E7">
            <w:pPr>
              <w:spacing w:after="0" w:line="240" w:lineRule="auto"/>
              <w:rPr>
                <w:rFonts w:ascii="Arial" w:hAnsi="Arial" w:cs="Arial"/>
              </w:rPr>
            </w:pPr>
            <w:r>
              <w:rPr>
                <w:rFonts w:ascii="Arial" w:hAnsi="Arial" w:cs="Arial"/>
              </w:rPr>
              <w:t xml:space="preserve">In addition to the designated assets, there are also several buildings identified within the Bentley Neighbourhood Plan as being of local interest within the vicinity, and by the applicant’s own designation within the </w:t>
            </w:r>
            <w:r w:rsidR="007254E4">
              <w:rPr>
                <w:rFonts w:ascii="Arial" w:hAnsi="Arial" w:cs="Arial"/>
              </w:rPr>
              <w:t xml:space="preserve">Heritage Impact Assessment </w:t>
            </w:r>
            <w:r>
              <w:rPr>
                <w:rFonts w:ascii="Arial" w:hAnsi="Arial" w:cs="Arial"/>
              </w:rPr>
              <w:t xml:space="preserve">the site is very close to the setting of several such non-designated assets. </w:t>
            </w:r>
          </w:p>
          <w:p w14:paraId="521BF7CD" w14:textId="547EB0AA" w:rsidR="001B5DD6" w:rsidRDefault="001B5DD6" w:rsidP="00D159E7">
            <w:pPr>
              <w:spacing w:after="0" w:line="240" w:lineRule="auto"/>
              <w:rPr>
                <w:rFonts w:ascii="Arial" w:hAnsi="Arial" w:cs="Arial"/>
              </w:rPr>
            </w:pPr>
            <w:r>
              <w:rPr>
                <w:rFonts w:ascii="Arial" w:hAnsi="Arial" w:cs="Arial"/>
              </w:rPr>
              <w:t xml:space="preserve">To the </w:t>
            </w:r>
            <w:r w:rsidR="00A61602">
              <w:rPr>
                <w:rFonts w:ascii="Arial" w:hAnsi="Arial" w:cs="Arial"/>
              </w:rPr>
              <w:t>s</w:t>
            </w:r>
            <w:r>
              <w:rPr>
                <w:rFonts w:ascii="Arial" w:hAnsi="Arial" w:cs="Arial"/>
              </w:rPr>
              <w:t xml:space="preserve">outh of the site the Neighbourhood Plan lists “Red Cottages and Potash Cottages” (“a run of charming red-brick houses at right-angles to each other” </w:t>
            </w:r>
            <w:r>
              <w:rPr>
                <w:rFonts w:ascii="Arial" w:hAnsi="Arial" w:cs="Arial"/>
              </w:rPr>
              <w:lastRenderedPageBreak/>
              <w:t>which dates to the 17</w:t>
            </w:r>
            <w:r w:rsidRPr="001B5DD6">
              <w:rPr>
                <w:rFonts w:ascii="Arial" w:hAnsi="Arial" w:cs="Arial"/>
                <w:vertAlign w:val="superscript"/>
              </w:rPr>
              <w:t>th</w:t>
            </w:r>
            <w:r>
              <w:rPr>
                <w:rFonts w:ascii="Arial" w:hAnsi="Arial" w:cs="Arial"/>
              </w:rPr>
              <w:t xml:space="preserve"> to 18</w:t>
            </w:r>
            <w:r w:rsidRPr="001B5DD6">
              <w:rPr>
                <w:rFonts w:ascii="Arial" w:hAnsi="Arial" w:cs="Arial"/>
                <w:vertAlign w:val="superscript"/>
              </w:rPr>
              <w:t>th</w:t>
            </w:r>
            <w:r>
              <w:rPr>
                <w:rFonts w:ascii="Arial" w:hAnsi="Arial" w:cs="Arial"/>
              </w:rPr>
              <w:t xml:space="preserve"> Centuries) and “Falstaff Manor” (one of the original medieval manors in Bentley and mentioned in the Domesday Book). To the </w:t>
            </w:r>
            <w:r w:rsidR="00A61602">
              <w:rPr>
                <w:rFonts w:ascii="Arial" w:hAnsi="Arial" w:cs="Arial"/>
              </w:rPr>
              <w:t>n</w:t>
            </w:r>
            <w:r>
              <w:rPr>
                <w:rFonts w:ascii="Arial" w:hAnsi="Arial" w:cs="Arial"/>
              </w:rPr>
              <w:t>orth are “Uplands” (a dwelling with a blend of contemporary and traditional forms), and “Little House”, “Glebe Cottage” and “Bentley House” (“a cluster of swellings focussed on the church”).</w:t>
            </w:r>
          </w:p>
          <w:p w14:paraId="05B4E2CC" w14:textId="77777777" w:rsidR="00A61602" w:rsidRDefault="00A61602" w:rsidP="00D159E7">
            <w:pPr>
              <w:spacing w:after="0" w:line="240" w:lineRule="auto"/>
              <w:rPr>
                <w:rFonts w:ascii="Arial" w:hAnsi="Arial" w:cs="Arial"/>
              </w:rPr>
            </w:pPr>
          </w:p>
          <w:p w14:paraId="75B52DBB" w14:textId="21BE44EF" w:rsidR="001B5DD6" w:rsidRPr="00A61602" w:rsidRDefault="00A61602" w:rsidP="00D159E7">
            <w:pPr>
              <w:spacing w:after="0" w:line="240" w:lineRule="auto"/>
              <w:rPr>
                <w:rFonts w:ascii="Arial" w:hAnsi="Arial" w:cs="Arial"/>
              </w:rPr>
            </w:pPr>
            <w:r>
              <w:rPr>
                <w:rFonts w:ascii="Arial" w:hAnsi="Arial" w:cs="Arial"/>
              </w:rPr>
              <w:t>The applicant’s Heritage Impact Assessment also includes “Grove Farm” (a post-medieval 19</w:t>
            </w:r>
            <w:r w:rsidRPr="00A61602">
              <w:rPr>
                <w:rFonts w:ascii="Arial" w:hAnsi="Arial" w:cs="Arial"/>
                <w:vertAlign w:val="superscript"/>
              </w:rPr>
              <w:t>th</w:t>
            </w:r>
            <w:r>
              <w:rPr>
                <w:rFonts w:ascii="Arial" w:hAnsi="Arial" w:cs="Arial"/>
              </w:rPr>
              <w:t xml:space="preserve"> Century farmstead recorded as part of the Farmsteads in the Suffolk Countryside Project) to the south, and “Church Farm” (another 19</w:t>
            </w:r>
            <w:r w:rsidRPr="00A61602">
              <w:rPr>
                <w:rFonts w:ascii="Arial" w:hAnsi="Arial" w:cs="Arial"/>
                <w:vertAlign w:val="superscript"/>
              </w:rPr>
              <w:t>th</w:t>
            </w:r>
            <w:r>
              <w:rPr>
                <w:rFonts w:ascii="Arial" w:hAnsi="Arial" w:cs="Arial"/>
              </w:rPr>
              <w:t xml:space="preserve"> Century farmstead) and “</w:t>
            </w:r>
            <w:proofErr w:type="spellStart"/>
            <w:r>
              <w:rPr>
                <w:rFonts w:ascii="Arial" w:hAnsi="Arial" w:cs="Arial"/>
              </w:rPr>
              <w:t>Engry</w:t>
            </w:r>
            <w:proofErr w:type="spellEnd"/>
            <w:r>
              <w:rPr>
                <w:rFonts w:ascii="Arial" w:hAnsi="Arial" w:cs="Arial"/>
              </w:rPr>
              <w:t xml:space="preserve"> Wood” (an ancient woodland) to the north-west of the site, as non-designated assets.</w:t>
            </w:r>
          </w:p>
          <w:p w14:paraId="2B09A907" w14:textId="77777777" w:rsidR="00305DE8" w:rsidRDefault="00305DE8" w:rsidP="00D159E7">
            <w:pPr>
              <w:spacing w:after="0" w:line="240" w:lineRule="auto"/>
              <w:rPr>
                <w:rFonts w:ascii="Arial" w:hAnsi="Arial" w:cs="Arial"/>
                <w:b/>
                <w:bCs/>
              </w:rPr>
            </w:pPr>
          </w:p>
          <w:p w14:paraId="7E797061" w14:textId="409CAC33" w:rsidR="00305DE8" w:rsidRDefault="00305DE8" w:rsidP="00D159E7">
            <w:pPr>
              <w:spacing w:after="0" w:line="240" w:lineRule="auto"/>
              <w:rPr>
                <w:rFonts w:ascii="Arial" w:hAnsi="Arial" w:cs="Arial"/>
              </w:rPr>
            </w:pPr>
            <w:r>
              <w:rPr>
                <w:rFonts w:ascii="Arial" w:hAnsi="Arial" w:cs="Arial"/>
              </w:rPr>
              <w:t>The presence of these designated and non-designated assets within the surrounding agricultural landscape adds to their historic significance, and the loss of the rural character of the landscape would therefore be to their detriment.</w:t>
            </w:r>
          </w:p>
          <w:p w14:paraId="381444BE" w14:textId="77777777" w:rsidR="00305DE8" w:rsidRDefault="00305DE8" w:rsidP="00D159E7">
            <w:pPr>
              <w:spacing w:after="0" w:line="240" w:lineRule="auto"/>
              <w:rPr>
                <w:rFonts w:ascii="Arial" w:hAnsi="Arial" w:cs="Arial"/>
              </w:rPr>
            </w:pPr>
          </w:p>
          <w:p w14:paraId="527AA07C" w14:textId="78D5A50E" w:rsidR="00305DE8" w:rsidRDefault="00305DE8" w:rsidP="00D159E7">
            <w:pPr>
              <w:spacing w:after="0" w:line="240" w:lineRule="auto"/>
              <w:rPr>
                <w:rFonts w:ascii="Arial" w:hAnsi="Arial" w:cs="Arial"/>
                <w:b/>
                <w:bCs/>
              </w:rPr>
            </w:pPr>
            <w:r>
              <w:rPr>
                <w:rFonts w:ascii="Arial" w:hAnsi="Arial" w:cs="Arial"/>
                <w:b/>
                <w:bCs/>
              </w:rPr>
              <w:t>Assessment</w:t>
            </w:r>
          </w:p>
          <w:p w14:paraId="6044685F" w14:textId="31992602" w:rsidR="00305DE8" w:rsidRDefault="00305DE8" w:rsidP="00D159E7">
            <w:pPr>
              <w:spacing w:after="0" w:line="240" w:lineRule="auto"/>
              <w:rPr>
                <w:rFonts w:ascii="Arial" w:hAnsi="Arial" w:cs="Arial"/>
              </w:rPr>
            </w:pPr>
            <w:r>
              <w:rPr>
                <w:rFonts w:ascii="Arial" w:hAnsi="Arial" w:cs="Arial"/>
              </w:rPr>
              <w:t>Overall, I am concerned that the proposal would have a potential negative visual impact on the wider setting of the nearby designated and non-designated heritage assets</w:t>
            </w:r>
            <w:r w:rsidR="005C202F">
              <w:rPr>
                <w:rFonts w:ascii="Arial" w:hAnsi="Arial" w:cs="Arial"/>
              </w:rPr>
              <w:t>.</w:t>
            </w:r>
            <w:r w:rsidR="00A61602">
              <w:rPr>
                <w:rFonts w:ascii="Arial" w:hAnsi="Arial" w:cs="Arial"/>
              </w:rPr>
              <w:t xml:space="preserve"> I therefore disagree with the conclusions of the Heritage Impact Assessment, which suggests that the proposal would not cause harm. </w:t>
            </w:r>
            <w:r w:rsidR="00317D19">
              <w:rPr>
                <w:rFonts w:ascii="Arial" w:hAnsi="Arial" w:cs="Arial"/>
              </w:rPr>
              <w:t xml:space="preserve">Additionally, the Heritage Impact Assessment is internally contradictory, stating in one line that there would be “no effects upon </w:t>
            </w:r>
            <w:proofErr w:type="gramStart"/>
            <w:r w:rsidR="00317D19">
              <w:rPr>
                <w:rFonts w:ascii="Arial" w:hAnsi="Arial" w:cs="Arial"/>
              </w:rPr>
              <w:t>the[</w:t>
            </w:r>
            <w:proofErr w:type="gramEnd"/>
            <w:r w:rsidR="00317D19">
              <w:rPr>
                <w:rFonts w:ascii="Arial" w:hAnsi="Arial" w:cs="Arial"/>
              </w:rPr>
              <w:t>] setting” of heritage assets, and then immediately and contradictorily stating that there would be a “low effect” on the setting of the Church, Falstaff manor, and Red Cottages and Potash Cottages.</w:t>
            </w:r>
          </w:p>
          <w:p w14:paraId="16058258" w14:textId="77777777" w:rsidR="00317D19" w:rsidRDefault="00317D19" w:rsidP="00D159E7">
            <w:pPr>
              <w:spacing w:after="0" w:line="240" w:lineRule="auto"/>
              <w:rPr>
                <w:rFonts w:ascii="Arial" w:hAnsi="Arial" w:cs="Arial"/>
              </w:rPr>
            </w:pPr>
          </w:p>
          <w:p w14:paraId="24D20C99" w14:textId="583DF156" w:rsidR="00317D19" w:rsidRDefault="00317D19" w:rsidP="00D159E7">
            <w:pPr>
              <w:spacing w:after="0" w:line="240" w:lineRule="auto"/>
              <w:rPr>
                <w:rFonts w:ascii="Arial" w:hAnsi="Arial" w:cs="Arial"/>
              </w:rPr>
            </w:pPr>
            <w:r>
              <w:rPr>
                <w:rFonts w:ascii="Arial" w:hAnsi="Arial" w:cs="Arial"/>
              </w:rPr>
              <w:t xml:space="preserve">It is not known if the site to the west of Church Road was historically associated with Bentley Hall. The intervention of the railway between the assets and the site could be indicative of the constraints of the designated </w:t>
            </w:r>
            <w:proofErr w:type="gramStart"/>
            <w:r>
              <w:rPr>
                <w:rFonts w:ascii="Arial" w:hAnsi="Arial" w:cs="Arial"/>
              </w:rPr>
              <w:t>landscape, or</w:t>
            </w:r>
            <w:proofErr w:type="gramEnd"/>
            <w:r>
              <w:rPr>
                <w:rFonts w:ascii="Arial" w:hAnsi="Arial" w:cs="Arial"/>
              </w:rPr>
              <w:t xml:space="preserve"> could indicate that the land was once under the same ownership. The Heritage Impact Assessment suggests that around the late 19</w:t>
            </w:r>
            <w:r w:rsidRPr="00317D19">
              <w:rPr>
                <w:rFonts w:ascii="Arial" w:hAnsi="Arial" w:cs="Arial"/>
                <w:vertAlign w:val="superscript"/>
              </w:rPr>
              <w:t>th</w:t>
            </w:r>
            <w:r>
              <w:rPr>
                <w:rFonts w:ascii="Arial" w:hAnsi="Arial" w:cs="Arial"/>
              </w:rPr>
              <w:t xml:space="preserve"> Century </w:t>
            </w:r>
            <w:proofErr w:type="gramStart"/>
            <w:r>
              <w:rPr>
                <w:rFonts w:ascii="Arial" w:hAnsi="Arial" w:cs="Arial"/>
              </w:rPr>
              <w:t>the majority of</w:t>
            </w:r>
            <w:proofErr w:type="gramEnd"/>
            <w:r>
              <w:rPr>
                <w:rFonts w:ascii="Arial" w:hAnsi="Arial" w:cs="Arial"/>
              </w:rPr>
              <w:t xml:space="preserve"> the site was under the estate of Falstaff Manor, however further information on the historic relationship between the listed group and the site west of Church Road is needed.</w:t>
            </w:r>
          </w:p>
          <w:p w14:paraId="1BDDED13" w14:textId="77777777" w:rsidR="00317D19" w:rsidRDefault="00317D19" w:rsidP="00D159E7">
            <w:pPr>
              <w:spacing w:after="0" w:line="240" w:lineRule="auto"/>
              <w:rPr>
                <w:rFonts w:ascii="Arial" w:hAnsi="Arial" w:cs="Arial"/>
              </w:rPr>
            </w:pPr>
          </w:p>
          <w:p w14:paraId="4C313B5B" w14:textId="59BEC7AD" w:rsidR="00317D19" w:rsidRDefault="00317D19" w:rsidP="00D159E7">
            <w:pPr>
              <w:spacing w:after="0" w:line="240" w:lineRule="auto"/>
              <w:rPr>
                <w:rFonts w:ascii="Arial" w:hAnsi="Arial" w:cs="Arial"/>
              </w:rPr>
            </w:pPr>
            <w:r>
              <w:rPr>
                <w:rFonts w:ascii="Arial" w:hAnsi="Arial" w:cs="Arial"/>
              </w:rPr>
              <w:t xml:space="preserve">The dismantled railway has had an impact on the ability of the site to contribute to the setting of the group at Bentley Hall as part of the historic landscape, with the </w:t>
            </w:r>
            <w:r>
              <w:rPr>
                <w:rFonts w:ascii="Arial" w:hAnsi="Arial" w:cs="Arial"/>
              </w:rPr>
              <w:lastRenderedPageBreak/>
              <w:t>mature vegetation running along the pathway appearing to screen the proposed site from these buildings.</w:t>
            </w:r>
          </w:p>
          <w:p w14:paraId="1AB042F3" w14:textId="77777777" w:rsidR="00317D19" w:rsidRDefault="00317D19" w:rsidP="00D159E7">
            <w:pPr>
              <w:spacing w:after="0" w:line="240" w:lineRule="auto"/>
              <w:rPr>
                <w:rFonts w:ascii="Arial" w:hAnsi="Arial" w:cs="Arial"/>
              </w:rPr>
            </w:pPr>
          </w:p>
          <w:p w14:paraId="5954DEE7" w14:textId="7AA520B3" w:rsidR="007906BE" w:rsidRDefault="00317D19" w:rsidP="00D159E7">
            <w:pPr>
              <w:spacing w:after="0" w:line="240" w:lineRule="auto"/>
              <w:rPr>
                <w:rFonts w:ascii="Arial" w:hAnsi="Arial" w:cs="Arial"/>
              </w:rPr>
            </w:pPr>
            <w:r>
              <w:rPr>
                <w:rFonts w:ascii="Arial" w:hAnsi="Arial" w:cs="Arial"/>
              </w:rPr>
              <w:t>The current character of the site is agricultural, with ancient woodland (</w:t>
            </w:r>
            <w:proofErr w:type="spellStart"/>
            <w:r>
              <w:rPr>
                <w:rFonts w:ascii="Arial" w:hAnsi="Arial" w:cs="Arial"/>
              </w:rPr>
              <w:t>Engry</w:t>
            </w:r>
            <w:proofErr w:type="spellEnd"/>
            <w:r>
              <w:rPr>
                <w:rFonts w:ascii="Arial" w:hAnsi="Arial" w:cs="Arial"/>
              </w:rPr>
              <w:t xml:space="preserve"> Wood) bounding the north-west corner and is in keeping with the wider rural landscape setting. The site contributes to the significance of the group due to the tranquil undeveloped character which is consistent with the wider setting of all the heritage assets.</w:t>
            </w:r>
          </w:p>
          <w:p w14:paraId="778F9FE2" w14:textId="77777777" w:rsidR="00317D19" w:rsidRDefault="00317D19" w:rsidP="00D159E7">
            <w:pPr>
              <w:spacing w:after="0" w:line="240" w:lineRule="auto"/>
              <w:rPr>
                <w:rFonts w:ascii="Arial" w:hAnsi="Arial" w:cs="Arial"/>
              </w:rPr>
            </w:pPr>
          </w:p>
          <w:p w14:paraId="77207730" w14:textId="4FA2FF4F" w:rsidR="00317D19" w:rsidRDefault="00317D19" w:rsidP="00D159E7">
            <w:pPr>
              <w:spacing w:after="0" w:line="240" w:lineRule="auto"/>
              <w:rPr>
                <w:rFonts w:ascii="Arial" w:hAnsi="Arial" w:cs="Arial"/>
              </w:rPr>
            </w:pPr>
            <w:r>
              <w:rPr>
                <w:rFonts w:ascii="Arial" w:hAnsi="Arial" w:cs="Arial"/>
              </w:rPr>
              <w:t>The proposed infrastructure, fence, gateways and substation, as well as the solar array</w:t>
            </w:r>
            <w:r w:rsidR="005477B5">
              <w:rPr>
                <w:rFonts w:ascii="Arial" w:hAnsi="Arial" w:cs="Arial"/>
              </w:rPr>
              <w:t xml:space="preserve">s (which are described as up to 3 metres high) are likely to transform the field sites from a rural into a more industrial landscape. The harsh reflective materials, angular support structures, security fencing, and any hard surfacing would contrast sharply with the current character of the open farmland. This will have an adverse impact on the tranquillity and agrarian character of the surrounds in which the heritage assets are </w:t>
            </w:r>
            <w:proofErr w:type="gramStart"/>
            <w:r w:rsidR="005477B5">
              <w:rPr>
                <w:rFonts w:ascii="Arial" w:hAnsi="Arial" w:cs="Arial"/>
              </w:rPr>
              <w:t>experienced, and</w:t>
            </w:r>
            <w:proofErr w:type="gramEnd"/>
            <w:r w:rsidR="005477B5">
              <w:rPr>
                <w:rFonts w:ascii="Arial" w:hAnsi="Arial" w:cs="Arial"/>
              </w:rPr>
              <w:t xml:space="preserve"> could reduce the contribution the setting makes to these heritage assets to the detriment of their significance. </w:t>
            </w:r>
          </w:p>
          <w:p w14:paraId="3B76A6CE" w14:textId="77777777" w:rsidR="005477B5" w:rsidRDefault="005477B5" w:rsidP="00D159E7">
            <w:pPr>
              <w:spacing w:after="0" w:line="240" w:lineRule="auto"/>
              <w:rPr>
                <w:rFonts w:ascii="Arial" w:hAnsi="Arial" w:cs="Arial"/>
              </w:rPr>
            </w:pPr>
          </w:p>
          <w:p w14:paraId="19FDAD4C" w14:textId="519A285E" w:rsidR="005477B5" w:rsidRDefault="005477B5" w:rsidP="00D159E7">
            <w:pPr>
              <w:spacing w:after="0" w:line="240" w:lineRule="auto"/>
              <w:rPr>
                <w:rFonts w:ascii="Arial" w:hAnsi="Arial" w:cs="Arial"/>
              </w:rPr>
            </w:pPr>
            <w:r>
              <w:rPr>
                <w:rFonts w:ascii="Arial" w:hAnsi="Arial" w:cs="Arial"/>
              </w:rPr>
              <w:t xml:space="preserve">Any proposed lighting is also likely to be highly intrusive and impact the tranquillity and darkness of the rural setting, which is an important “intangible” quality of this locality. Additionally, the Bentley Neighbourhood Plan identified the protection of their dark skies as an important goal, with “access to the night sky </w:t>
            </w:r>
            <w:proofErr w:type="spellStart"/>
            <w:r>
              <w:rPr>
                <w:rFonts w:ascii="Arial" w:hAnsi="Arial" w:cs="Arial"/>
              </w:rPr>
              <w:t>contribut</w:t>
            </w:r>
            <w:proofErr w:type="spellEnd"/>
            <w:r>
              <w:rPr>
                <w:rFonts w:ascii="Arial" w:hAnsi="Arial" w:cs="Arial"/>
              </w:rPr>
              <w:t>[</w:t>
            </w:r>
            <w:proofErr w:type="spellStart"/>
            <w:r>
              <w:rPr>
                <w:rFonts w:ascii="Arial" w:hAnsi="Arial" w:cs="Arial"/>
              </w:rPr>
              <w:t>ing</w:t>
            </w:r>
            <w:proofErr w:type="spellEnd"/>
            <w:r>
              <w:rPr>
                <w:rFonts w:ascii="Arial" w:hAnsi="Arial" w:cs="Arial"/>
              </w:rPr>
              <w:t xml:space="preserve">] to the rural character and sense of place” within the area as a “highly valued asset”. </w:t>
            </w:r>
          </w:p>
          <w:p w14:paraId="5DC457B0" w14:textId="4B03BCC5" w:rsidR="00F37779" w:rsidRDefault="00F37779" w:rsidP="00D159E7">
            <w:pPr>
              <w:spacing w:after="0" w:line="240" w:lineRule="auto"/>
              <w:rPr>
                <w:rFonts w:ascii="Arial" w:hAnsi="Arial" w:cs="Arial"/>
              </w:rPr>
            </w:pPr>
          </w:p>
          <w:p w14:paraId="2FF67F36" w14:textId="60C354AD" w:rsidR="00F37779" w:rsidRDefault="00F37779" w:rsidP="00D159E7">
            <w:pPr>
              <w:spacing w:after="0" w:line="240" w:lineRule="auto"/>
              <w:rPr>
                <w:rFonts w:ascii="Arial" w:hAnsi="Arial" w:cs="Arial"/>
              </w:rPr>
            </w:pPr>
            <w:r>
              <w:rPr>
                <w:rFonts w:ascii="Arial" w:hAnsi="Arial" w:cs="Arial"/>
              </w:rPr>
              <w:t>The church tower will be seen in conjunction with the proposed development and the quality of its immediate setting would be affected, with the array in the foreground of views of the tower from the south, west and east boundaries of the site.</w:t>
            </w:r>
          </w:p>
          <w:p w14:paraId="60FD137C" w14:textId="77777777" w:rsidR="00F37779" w:rsidRDefault="00F37779" w:rsidP="00D159E7">
            <w:pPr>
              <w:spacing w:after="0" w:line="240" w:lineRule="auto"/>
              <w:rPr>
                <w:rFonts w:ascii="Arial" w:hAnsi="Arial" w:cs="Arial"/>
              </w:rPr>
            </w:pPr>
          </w:p>
          <w:p w14:paraId="4FD8BB63" w14:textId="6D76AE50" w:rsidR="00F37779" w:rsidRDefault="00F37779" w:rsidP="00D159E7">
            <w:pPr>
              <w:spacing w:after="0" w:line="240" w:lineRule="auto"/>
              <w:rPr>
                <w:rFonts w:ascii="Arial" w:hAnsi="Arial" w:cs="Arial"/>
              </w:rPr>
            </w:pPr>
            <w:r>
              <w:rPr>
                <w:rFonts w:ascii="Arial" w:hAnsi="Arial" w:cs="Arial"/>
              </w:rPr>
              <w:t xml:space="preserve">The extent of the assessed impact of the proposal upon the setting of the manorial group at Bentley Hall will depend upon the role or connection of the site with these buildings (and as mentioned previously, clarification on any historic relationship is still needed). Although there does not appear to be direct intervisibility between the site and assets due to intervening properties and vegetation, </w:t>
            </w:r>
            <w:proofErr w:type="gramStart"/>
            <w:r>
              <w:rPr>
                <w:rFonts w:ascii="Arial" w:hAnsi="Arial" w:cs="Arial"/>
              </w:rPr>
              <w:t>it is clear that the</w:t>
            </w:r>
            <w:proofErr w:type="gramEnd"/>
            <w:r>
              <w:rPr>
                <w:rFonts w:ascii="Arial" w:hAnsi="Arial" w:cs="Arial"/>
              </w:rPr>
              <w:t xml:space="preserve"> array would be visible on approach to the group and would be the context in which they were experienced when moving through the landscape. As outlined within the National </w:t>
            </w:r>
            <w:r>
              <w:rPr>
                <w:rFonts w:ascii="Arial" w:hAnsi="Arial" w:cs="Arial"/>
              </w:rPr>
              <w:lastRenderedPageBreak/>
              <w:t>Planning Practice Guidance</w:t>
            </w:r>
            <w:r w:rsidR="006B7048">
              <w:rPr>
                <w:rFonts w:ascii="Arial" w:hAnsi="Arial" w:cs="Arial"/>
              </w:rPr>
              <w:t>, experience in terms of setting has a broader definition than views and the contribution that setting makes to significance does not depend on their being a public right of way or an ability to access that setting.</w:t>
            </w:r>
            <w:r w:rsidR="003811D3">
              <w:rPr>
                <w:rFonts w:ascii="Arial" w:hAnsi="Arial" w:cs="Arial"/>
              </w:rPr>
              <w:t xml:space="preserve"> The change in character of this large parcel of land and associated infrastructure is likely to result in harm to the setting of the group at Bentley Hall, and if there is a historic relationship between the sites and Bentley Hall then the assessed level of harm is likely to be greater than if there is no relationship.</w:t>
            </w:r>
          </w:p>
          <w:p w14:paraId="7398CC78" w14:textId="77777777" w:rsidR="003811D3" w:rsidRDefault="003811D3" w:rsidP="00D159E7">
            <w:pPr>
              <w:spacing w:after="0" w:line="240" w:lineRule="auto"/>
              <w:rPr>
                <w:rFonts w:ascii="Arial" w:hAnsi="Arial" w:cs="Arial"/>
              </w:rPr>
            </w:pPr>
          </w:p>
          <w:p w14:paraId="53D583C5" w14:textId="7F64DB1D" w:rsidR="003811D3" w:rsidRDefault="003811D3" w:rsidP="00D159E7">
            <w:pPr>
              <w:spacing w:after="0" w:line="240" w:lineRule="auto"/>
              <w:rPr>
                <w:rFonts w:ascii="Arial" w:hAnsi="Arial" w:cs="Arial"/>
              </w:rPr>
            </w:pPr>
            <w:r>
              <w:rPr>
                <w:rFonts w:ascii="Arial" w:hAnsi="Arial" w:cs="Arial"/>
              </w:rPr>
              <w:t>The ability of enhanced or existing planting to mitigate the effects of any assessed harm is debateable. It would not be desirable to conceal the church tower from view of the site – this is a landscape feature and by nature designed to be seen from afar. Additionally, planting is not permanent and its ability to screen harmful features is seasonal by nature. The planting itself could also potentially be viewed as intrusive within the setting</w:t>
            </w:r>
            <w:r w:rsidR="0025186D">
              <w:rPr>
                <w:rFonts w:ascii="Arial" w:hAnsi="Arial" w:cs="Arial"/>
              </w:rPr>
              <w:t xml:space="preserve"> if not carefully considered.</w:t>
            </w:r>
          </w:p>
          <w:p w14:paraId="63EC54D6" w14:textId="77777777" w:rsidR="0025186D" w:rsidRDefault="0025186D" w:rsidP="00D159E7">
            <w:pPr>
              <w:spacing w:after="0" w:line="240" w:lineRule="auto"/>
              <w:rPr>
                <w:rFonts w:ascii="Arial" w:hAnsi="Arial" w:cs="Arial"/>
              </w:rPr>
            </w:pPr>
          </w:p>
          <w:p w14:paraId="43D3ABAB" w14:textId="2DB99B2A" w:rsidR="0025186D" w:rsidRDefault="0025186D" w:rsidP="00D159E7">
            <w:pPr>
              <w:spacing w:after="0" w:line="240" w:lineRule="auto"/>
              <w:rPr>
                <w:rFonts w:ascii="Arial" w:hAnsi="Arial" w:cs="Arial"/>
                <w:b/>
                <w:bCs/>
              </w:rPr>
            </w:pPr>
            <w:r>
              <w:rPr>
                <w:rFonts w:ascii="Arial" w:hAnsi="Arial" w:cs="Arial"/>
                <w:b/>
                <w:bCs/>
              </w:rPr>
              <w:t>Conclusion</w:t>
            </w:r>
          </w:p>
          <w:p w14:paraId="3A02459D" w14:textId="4F3E8D7E" w:rsidR="0025186D" w:rsidRDefault="0025186D" w:rsidP="00D159E7">
            <w:pPr>
              <w:spacing w:after="0" w:line="240" w:lineRule="auto"/>
              <w:rPr>
                <w:rFonts w:ascii="Arial" w:hAnsi="Arial" w:cs="Arial"/>
              </w:rPr>
            </w:pPr>
            <w:r>
              <w:rPr>
                <w:rFonts w:ascii="Arial" w:hAnsi="Arial" w:cs="Arial"/>
              </w:rPr>
              <w:t>The proposal is likely to cause harm to the significance and setting of the Church of St Mary, the manorial group of highly graded listed buildings associated with Bentley Hall, and the various nearby non-designated assets. The level of harm is likely to be less than substantial, but the change of character of the area (from rural to industrial) through the addition of the proposed infrastructure would have a negative impact on the setting in which the heritage assets are experienced, to the detriment of their significance. For a more precise assessment of the potential harm, a more exact understanding of the relationship between the sites and Bentley Hall is needed.</w:t>
            </w:r>
            <w:r w:rsidR="00680BA5">
              <w:rPr>
                <w:rFonts w:ascii="Arial" w:hAnsi="Arial" w:cs="Arial"/>
              </w:rPr>
              <w:t xml:space="preserve"> Regardless, at this stage I am not convinced that there is any scope for the proposed solar farm in this location, due to the potential for harm to the significance and setting of several heritage assets.</w:t>
            </w:r>
          </w:p>
          <w:p w14:paraId="5C473A65" w14:textId="77777777" w:rsidR="00D159E7" w:rsidRDefault="00D159E7" w:rsidP="00D159E7">
            <w:pPr>
              <w:spacing w:after="0" w:line="240" w:lineRule="auto"/>
              <w:rPr>
                <w:rFonts w:ascii="Arial" w:hAnsi="Arial" w:cs="Arial"/>
              </w:rPr>
            </w:pPr>
          </w:p>
          <w:p w14:paraId="30B89F78" w14:textId="3BBD9F69" w:rsidR="00C6733D" w:rsidRDefault="00C6733D" w:rsidP="00C6733D">
            <w:pPr>
              <w:spacing w:after="0" w:line="240" w:lineRule="auto"/>
              <w:rPr>
                <w:rFonts w:ascii="Arial" w:hAnsi="Arial" w:cs="Arial"/>
              </w:rPr>
            </w:pPr>
            <w:r>
              <w:rPr>
                <w:rFonts w:ascii="Arial" w:hAnsi="Arial" w:cs="Arial"/>
              </w:rPr>
              <w:t xml:space="preserve">In conclusion, I consider that the application in its present form would cause a </w:t>
            </w:r>
            <w:r w:rsidR="0025186D">
              <w:rPr>
                <w:rFonts w:ascii="Arial" w:hAnsi="Arial" w:cs="Arial"/>
              </w:rPr>
              <w:t>low to medium</w:t>
            </w:r>
            <w:r>
              <w:rPr>
                <w:rFonts w:ascii="Arial" w:hAnsi="Arial" w:cs="Arial"/>
              </w:rPr>
              <w:t xml:space="preserve"> level of less than substantial harm to the significance and setting of </w:t>
            </w:r>
            <w:r w:rsidR="0025186D">
              <w:rPr>
                <w:rFonts w:ascii="Arial" w:hAnsi="Arial" w:cs="Arial"/>
              </w:rPr>
              <w:t>designated and non-designated heritage assets.</w:t>
            </w:r>
            <w:r>
              <w:rPr>
                <w:rFonts w:ascii="Arial" w:hAnsi="Arial" w:cs="Arial"/>
              </w:rPr>
              <w:t xml:space="preserve"> It therefore does not meet the requirements of the NPPF and does not accord with Joint Local Plan policy LP19</w:t>
            </w:r>
            <w:r w:rsidR="0025186D">
              <w:rPr>
                <w:rFonts w:ascii="Arial" w:hAnsi="Arial" w:cs="Arial"/>
              </w:rPr>
              <w:t>.</w:t>
            </w:r>
          </w:p>
          <w:p w14:paraId="4032B4FF" w14:textId="745681E3" w:rsidR="00F170CA" w:rsidRDefault="00F170CA" w:rsidP="009205BB">
            <w:pPr>
              <w:spacing w:after="0" w:line="240" w:lineRule="auto"/>
              <w:rPr>
                <w:rFonts w:ascii="Arial" w:hAnsi="Arial" w:cs="Arial"/>
              </w:rPr>
            </w:pPr>
          </w:p>
          <w:p w14:paraId="1B173144" w14:textId="1CEA010A" w:rsidR="00AC3391" w:rsidRPr="00AC3391" w:rsidRDefault="00AC3391" w:rsidP="00AC3391">
            <w:pPr>
              <w:spacing w:after="0" w:line="240" w:lineRule="auto"/>
              <w:rPr>
                <w:rFonts w:ascii="Arial" w:hAnsi="Arial" w:cs="Arial"/>
                <w:b/>
                <w:bCs/>
              </w:rPr>
            </w:pPr>
            <w:r>
              <w:rPr>
                <w:rFonts w:ascii="Arial" w:hAnsi="Arial" w:cs="Arial"/>
              </w:rPr>
              <w:t xml:space="preserve">The less than substantial harm to the significance of a designated heritage asset should be weighed against the public benefits of the proposal including, where </w:t>
            </w:r>
            <w:r>
              <w:rPr>
                <w:rFonts w:ascii="Arial" w:hAnsi="Arial" w:cs="Arial"/>
              </w:rPr>
              <w:lastRenderedPageBreak/>
              <w:t>appropriate, securing its optimum viable use, as per para. 202 of the NPPF.</w:t>
            </w:r>
          </w:p>
          <w:p w14:paraId="368FC90F" w14:textId="63C9C27C" w:rsidR="00D159E7" w:rsidRPr="00AC3391" w:rsidRDefault="00D159E7" w:rsidP="001159AB">
            <w:pPr>
              <w:spacing w:after="0" w:line="240" w:lineRule="auto"/>
              <w:rPr>
                <w:rFonts w:ascii="Arial" w:hAnsi="Arial" w:cs="Arial"/>
              </w:rPr>
            </w:pPr>
          </w:p>
          <w:p w14:paraId="22F4506E" w14:textId="1B88F099" w:rsidR="00C6733D" w:rsidRPr="00C6733D" w:rsidRDefault="00C6733D" w:rsidP="00C6733D">
            <w:pPr>
              <w:spacing w:after="0" w:line="240" w:lineRule="auto"/>
              <w:rPr>
                <w:rFonts w:ascii="Arial" w:hAnsi="Arial" w:cs="Arial"/>
                <w:b/>
                <w:bCs/>
              </w:rPr>
            </w:pPr>
            <w:r>
              <w:rPr>
                <w:rFonts w:ascii="Arial" w:hAnsi="Arial" w:cs="Arial"/>
              </w:rPr>
              <w:t xml:space="preserve">The effect of an application on the significance of a non-designated heritage asset should be </w:t>
            </w:r>
            <w:proofErr w:type="gramStart"/>
            <w:r>
              <w:rPr>
                <w:rFonts w:ascii="Arial" w:hAnsi="Arial" w:cs="Arial"/>
              </w:rPr>
              <w:t>taken into account</w:t>
            </w:r>
            <w:proofErr w:type="gramEnd"/>
            <w:r>
              <w:rPr>
                <w:rFonts w:ascii="Arial" w:hAnsi="Arial" w:cs="Arial"/>
              </w:rPr>
              <w:t xml:space="preserve"> in determining the application, as per para.</w:t>
            </w:r>
            <w:r w:rsidR="0025186D">
              <w:rPr>
                <w:rFonts w:ascii="Arial" w:hAnsi="Arial" w:cs="Arial"/>
              </w:rPr>
              <w:t xml:space="preserve"> </w:t>
            </w:r>
            <w:r>
              <w:rPr>
                <w:rFonts w:ascii="Arial" w:hAnsi="Arial" w:cs="Arial"/>
              </w:rPr>
              <w:t>203 of the NPPF, as well as the policies in the Local Plan.</w:t>
            </w:r>
          </w:p>
          <w:p w14:paraId="1B5E81C5" w14:textId="11BE4B5A" w:rsidR="009F76B8" w:rsidRPr="00C6733D" w:rsidRDefault="009F76B8" w:rsidP="009F76B8">
            <w:pPr>
              <w:spacing w:after="0" w:line="240" w:lineRule="auto"/>
              <w:rPr>
                <w:rFonts w:ascii="Arial" w:hAnsi="Arial" w:cs="Arial"/>
              </w:rPr>
            </w:pPr>
          </w:p>
          <w:p w14:paraId="7B294D72" w14:textId="77777777" w:rsidR="00C6733D" w:rsidRDefault="00C6733D" w:rsidP="009F76B8">
            <w:pPr>
              <w:spacing w:after="0" w:line="240" w:lineRule="auto"/>
              <w:rPr>
                <w:rFonts w:ascii="Arial" w:hAnsi="Arial" w:cs="Arial"/>
              </w:rPr>
            </w:pPr>
          </w:p>
          <w:p w14:paraId="13A52867" w14:textId="77777777" w:rsidR="009F76B8" w:rsidRDefault="009F76B8" w:rsidP="009F76B8">
            <w:pPr>
              <w:spacing w:after="0" w:line="240" w:lineRule="auto"/>
              <w:rPr>
                <w:rFonts w:ascii="Arial" w:hAnsi="Arial" w:cs="Arial"/>
                <w:i/>
              </w:rPr>
            </w:pPr>
            <w:r w:rsidRPr="000816D1">
              <w:rPr>
                <w:rFonts w:ascii="Arial" w:hAnsi="Arial" w:cs="Arial"/>
                <w:i/>
              </w:rPr>
              <w:t xml:space="preserve">Decision-takers should be mindful of the specific legal duties of the local planning authority with respect to the special regard to the desirability of preserving the listed building or its setting or any features of special architectural or historic interest which it possesses, as set out in section </w:t>
            </w:r>
            <w:r>
              <w:rPr>
                <w:rFonts w:ascii="Arial" w:hAnsi="Arial" w:cs="Arial"/>
                <w:i/>
              </w:rPr>
              <w:t>1</w:t>
            </w:r>
            <w:r w:rsidRPr="000816D1">
              <w:rPr>
                <w:rFonts w:ascii="Arial" w:hAnsi="Arial" w:cs="Arial"/>
                <w:i/>
              </w:rPr>
              <w:t>6 of the Planning (Listed Buildings and Conservation Areas) Act 1990</w:t>
            </w:r>
            <w:r>
              <w:rPr>
                <w:rFonts w:ascii="Arial" w:hAnsi="Arial" w:cs="Arial"/>
                <w:i/>
              </w:rPr>
              <w:t>.</w:t>
            </w:r>
          </w:p>
          <w:p w14:paraId="420BB5FC" w14:textId="77777777" w:rsidR="009F76B8" w:rsidRDefault="009F76B8" w:rsidP="009F76B8">
            <w:pPr>
              <w:spacing w:after="0" w:line="240" w:lineRule="auto"/>
              <w:rPr>
                <w:rFonts w:ascii="Arial" w:hAnsi="Arial" w:cs="Arial"/>
                <w:i/>
              </w:rPr>
            </w:pPr>
          </w:p>
          <w:p w14:paraId="565151B9" w14:textId="77777777" w:rsidR="009F76B8" w:rsidRPr="00F66D2F" w:rsidRDefault="009F76B8" w:rsidP="009F76B8">
            <w:pPr>
              <w:spacing w:after="0" w:line="240" w:lineRule="auto"/>
              <w:rPr>
                <w:rFonts w:ascii="Arial" w:hAnsi="Arial" w:cs="Arial"/>
                <w:i/>
              </w:rPr>
            </w:pPr>
            <w:r w:rsidRPr="00F66D2F">
              <w:rPr>
                <w:rFonts w:ascii="Arial" w:hAnsi="Arial" w:cs="Arial"/>
                <w:i/>
              </w:rPr>
              <w:t xml:space="preserve">Decision-takers should be mindful of the specific legal duties of the local planning authority with respect to the special regard to the desirability of preserving the listed building or its setting or any features of special architectural or historic interest which it possesses, as set out in section 66 of the Planning (Listed Buildings and Conservation Areas) Act 1990.  </w:t>
            </w:r>
          </w:p>
          <w:p w14:paraId="08B9037F" w14:textId="77777777" w:rsidR="009F76B8" w:rsidRPr="00F66D2F" w:rsidRDefault="009F76B8" w:rsidP="009F76B8">
            <w:pPr>
              <w:spacing w:after="0" w:line="240" w:lineRule="auto"/>
              <w:rPr>
                <w:rFonts w:ascii="Arial" w:hAnsi="Arial" w:cs="Arial"/>
                <w:i/>
              </w:rPr>
            </w:pPr>
          </w:p>
          <w:p w14:paraId="3CC7D815" w14:textId="77777777" w:rsidR="009F76B8" w:rsidRDefault="009F76B8" w:rsidP="009F76B8">
            <w:pPr>
              <w:spacing w:after="0" w:line="240" w:lineRule="auto"/>
              <w:rPr>
                <w:rFonts w:ascii="Arial" w:hAnsi="Arial" w:cs="Arial"/>
                <w:i/>
              </w:rPr>
            </w:pPr>
            <w:r w:rsidRPr="00F66D2F">
              <w:rPr>
                <w:rFonts w:ascii="Arial" w:hAnsi="Arial" w:cs="Arial"/>
                <w:i/>
              </w:rPr>
              <w:t xml:space="preserve">Decision-takers should be mindful of the specific legal duties of the local planning authority with respect to the special attention which shall be paid to the desirability of preserving or enhancing the character and appearance of the Conservation Area, as set out in section 72 of the Planning (Listed Buildings and Conservation Areas) Act 1990.  </w:t>
            </w:r>
          </w:p>
          <w:p w14:paraId="59B97944" w14:textId="77777777" w:rsidR="009F76B8" w:rsidRDefault="009F76B8" w:rsidP="009F76B8">
            <w:pPr>
              <w:spacing w:after="0" w:line="240" w:lineRule="auto"/>
              <w:rPr>
                <w:rFonts w:ascii="Arial" w:hAnsi="Arial" w:cs="Arial"/>
              </w:rPr>
            </w:pPr>
          </w:p>
          <w:p w14:paraId="3B6E052A" w14:textId="77777777" w:rsidR="009F76B8" w:rsidRPr="009F6B8A" w:rsidRDefault="009F76B8" w:rsidP="009F76B8">
            <w:pPr>
              <w:spacing w:after="0" w:line="240" w:lineRule="auto"/>
              <w:rPr>
                <w:rFonts w:ascii="Arial" w:hAnsi="Arial" w:cs="Arial"/>
                <w:i/>
                <w:iCs/>
              </w:rPr>
            </w:pPr>
            <w:r w:rsidRPr="009F6B8A">
              <w:rPr>
                <w:rFonts w:ascii="Arial" w:hAnsi="Arial" w:cs="Arial"/>
                <w:i/>
                <w:iCs/>
              </w:rPr>
              <w:t>Joint Local Plan Policy LP19:</w:t>
            </w:r>
          </w:p>
          <w:p w14:paraId="1B176E53" w14:textId="49B752C9" w:rsidR="009F76B8" w:rsidRPr="009205BB" w:rsidRDefault="009F76B8" w:rsidP="009F76B8">
            <w:pPr>
              <w:spacing w:after="0" w:line="240" w:lineRule="auto"/>
              <w:rPr>
                <w:rFonts w:ascii="Arial" w:hAnsi="Arial" w:cs="Arial"/>
              </w:rPr>
            </w:pPr>
            <w:r w:rsidRPr="00EF3D7A">
              <w:rPr>
                <w:rFonts w:ascii="Arial" w:hAnsi="Arial" w:cs="Arial"/>
                <w:i/>
                <w:iCs/>
              </w:rPr>
              <w:t>When considering applications where a level of harm is identified to heritage assets (including historic landscapes) the Councils will consider the</w:t>
            </w:r>
            <w:r>
              <w:rPr>
                <w:rFonts w:ascii="Arial" w:hAnsi="Arial" w:cs="Arial"/>
                <w:i/>
                <w:iCs/>
              </w:rPr>
              <w:t xml:space="preserve"> e</w:t>
            </w:r>
            <w:r w:rsidRPr="00EF3D7A">
              <w:rPr>
                <w:rFonts w:ascii="Arial" w:hAnsi="Arial" w:cs="Arial"/>
                <w:i/>
                <w:iCs/>
              </w:rPr>
              <w:t>xtent of harm and significance of the asset in accordance with the relevant national policies. Harm to designated heritage assets (regardless of the level of harm) will require clear and convincing justification in line with the tests in the National Planning Policy Framework</w:t>
            </w:r>
            <w:r>
              <w:rPr>
                <w:rFonts w:ascii="Arial" w:hAnsi="Arial" w:cs="Arial"/>
                <w:i/>
                <w:iCs/>
              </w:rPr>
              <w:t>.</w:t>
            </w:r>
          </w:p>
        </w:tc>
      </w:tr>
      <w:tr w:rsidR="00525D98" w:rsidRPr="009205BB" w14:paraId="74B7C088" w14:textId="77777777" w:rsidTr="009205BB">
        <w:tc>
          <w:tcPr>
            <w:tcW w:w="392" w:type="dxa"/>
          </w:tcPr>
          <w:p w14:paraId="5372B762" w14:textId="77777777" w:rsidR="00525D98" w:rsidRPr="009205BB" w:rsidRDefault="00525D98" w:rsidP="009205BB">
            <w:pPr>
              <w:spacing w:after="0" w:line="240" w:lineRule="auto"/>
              <w:rPr>
                <w:rFonts w:ascii="Arial" w:hAnsi="Arial" w:cs="Arial"/>
              </w:rPr>
            </w:pPr>
            <w:r w:rsidRPr="009205BB">
              <w:rPr>
                <w:rFonts w:ascii="Arial" w:hAnsi="Arial" w:cs="Arial"/>
              </w:rPr>
              <w:lastRenderedPageBreak/>
              <w:t>6</w:t>
            </w:r>
          </w:p>
        </w:tc>
        <w:tc>
          <w:tcPr>
            <w:tcW w:w="2977" w:type="dxa"/>
          </w:tcPr>
          <w:p w14:paraId="48F4BC7B" w14:textId="6ACE51B7" w:rsidR="00525D98" w:rsidRPr="009205BB" w:rsidRDefault="00525D98" w:rsidP="009205BB">
            <w:pPr>
              <w:spacing w:after="0" w:line="240" w:lineRule="auto"/>
              <w:rPr>
                <w:rFonts w:ascii="Arial" w:hAnsi="Arial" w:cs="Arial"/>
                <w:b/>
              </w:rPr>
            </w:pPr>
            <w:r w:rsidRPr="009205BB">
              <w:rPr>
                <w:rFonts w:ascii="Arial" w:hAnsi="Arial" w:cs="Arial"/>
                <w:b/>
              </w:rPr>
              <w:t xml:space="preserve">Amendments, Clarification or Additional Information Required </w:t>
            </w:r>
          </w:p>
          <w:p w14:paraId="052DBFBF" w14:textId="12EE5FAD" w:rsidR="00015791" w:rsidRPr="009205BB" w:rsidRDefault="00015791" w:rsidP="001159AB">
            <w:pPr>
              <w:spacing w:after="0" w:line="240" w:lineRule="auto"/>
              <w:rPr>
                <w:rFonts w:ascii="Arial" w:hAnsi="Arial" w:cs="Arial"/>
              </w:rPr>
            </w:pPr>
          </w:p>
        </w:tc>
        <w:tc>
          <w:tcPr>
            <w:tcW w:w="5873" w:type="dxa"/>
            <w:gridSpan w:val="2"/>
          </w:tcPr>
          <w:p w14:paraId="4721BF61" w14:textId="49A09042" w:rsidR="00525D98" w:rsidRPr="0025186D" w:rsidRDefault="0025186D" w:rsidP="0025186D">
            <w:pPr>
              <w:pStyle w:val="ListParagraph"/>
              <w:numPr>
                <w:ilvl w:val="0"/>
                <w:numId w:val="4"/>
              </w:numPr>
              <w:spacing w:line="240" w:lineRule="auto"/>
              <w:rPr>
                <w:rFonts w:ascii="Arial" w:hAnsi="Arial" w:cs="Arial"/>
              </w:rPr>
            </w:pPr>
            <w:r>
              <w:rPr>
                <w:rFonts w:ascii="Arial" w:hAnsi="Arial" w:cs="Arial"/>
              </w:rPr>
              <w:t>Clarification on the historic relationship between the site and the Bentley Hall group.</w:t>
            </w:r>
          </w:p>
        </w:tc>
      </w:tr>
      <w:tr w:rsidR="00525D98" w:rsidRPr="009205BB" w14:paraId="237AA709" w14:textId="77777777" w:rsidTr="009205BB">
        <w:tc>
          <w:tcPr>
            <w:tcW w:w="392" w:type="dxa"/>
          </w:tcPr>
          <w:p w14:paraId="48620882" w14:textId="77777777" w:rsidR="00525D98" w:rsidRPr="009205BB" w:rsidRDefault="00525D98" w:rsidP="009205BB">
            <w:pPr>
              <w:spacing w:after="0" w:line="240" w:lineRule="auto"/>
              <w:rPr>
                <w:rFonts w:ascii="Arial" w:hAnsi="Arial" w:cs="Arial"/>
              </w:rPr>
            </w:pPr>
            <w:r w:rsidRPr="009205BB">
              <w:rPr>
                <w:rFonts w:ascii="Arial" w:hAnsi="Arial" w:cs="Arial"/>
              </w:rPr>
              <w:t>7</w:t>
            </w:r>
          </w:p>
        </w:tc>
        <w:tc>
          <w:tcPr>
            <w:tcW w:w="2977" w:type="dxa"/>
          </w:tcPr>
          <w:p w14:paraId="271ED70A" w14:textId="77777777" w:rsidR="00525D98" w:rsidRDefault="00525D98" w:rsidP="003922F4">
            <w:pPr>
              <w:spacing w:after="0" w:line="240" w:lineRule="auto"/>
              <w:rPr>
                <w:rFonts w:ascii="Arial" w:hAnsi="Arial" w:cs="Arial"/>
                <w:b/>
              </w:rPr>
            </w:pPr>
            <w:r w:rsidRPr="009205BB">
              <w:rPr>
                <w:rFonts w:ascii="Arial" w:hAnsi="Arial" w:cs="Arial"/>
                <w:b/>
              </w:rPr>
              <w:t>Recommended conditions</w:t>
            </w:r>
          </w:p>
          <w:p w14:paraId="73ED3AAA" w14:textId="31911D53" w:rsidR="009F36CA" w:rsidRPr="009205BB" w:rsidRDefault="009F36CA" w:rsidP="003922F4">
            <w:pPr>
              <w:spacing w:after="0" w:line="240" w:lineRule="auto"/>
              <w:rPr>
                <w:rFonts w:ascii="Arial" w:hAnsi="Arial" w:cs="Arial"/>
              </w:rPr>
            </w:pPr>
          </w:p>
        </w:tc>
        <w:tc>
          <w:tcPr>
            <w:tcW w:w="5873" w:type="dxa"/>
            <w:gridSpan w:val="2"/>
          </w:tcPr>
          <w:p w14:paraId="03A9C86D" w14:textId="1C1D84F8" w:rsidR="00D45B02" w:rsidRPr="009205BB" w:rsidRDefault="0025186D" w:rsidP="009205BB">
            <w:pPr>
              <w:spacing w:after="0" w:line="240" w:lineRule="auto"/>
              <w:rPr>
                <w:rFonts w:ascii="Arial" w:hAnsi="Arial" w:cs="Arial"/>
              </w:rPr>
            </w:pPr>
            <w:r>
              <w:rPr>
                <w:rFonts w:ascii="Arial" w:hAnsi="Arial" w:cs="Arial"/>
              </w:rPr>
              <w:t>Subject to the above.</w:t>
            </w:r>
          </w:p>
        </w:tc>
      </w:tr>
    </w:tbl>
    <w:p w14:paraId="3366C8E8" w14:textId="77777777" w:rsidR="00525D98" w:rsidRPr="00815A63" w:rsidRDefault="00525D98">
      <w:pPr>
        <w:rPr>
          <w:rFonts w:ascii="Arial" w:hAnsi="Arial" w:cs="Arial"/>
        </w:rPr>
      </w:pPr>
    </w:p>
    <w:sectPr w:rsidR="00525D98" w:rsidRPr="00815A63" w:rsidSect="008F275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9A8F" w14:textId="77777777" w:rsidR="00024AAC" w:rsidRDefault="00024AAC" w:rsidP="00D45B02">
      <w:pPr>
        <w:spacing w:after="0" w:line="240" w:lineRule="auto"/>
      </w:pPr>
      <w:r>
        <w:separator/>
      </w:r>
    </w:p>
  </w:endnote>
  <w:endnote w:type="continuationSeparator" w:id="0">
    <w:p w14:paraId="62797815" w14:textId="77777777" w:rsidR="00024AAC" w:rsidRDefault="00024AAC" w:rsidP="00D4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09B0" w14:textId="77777777" w:rsidR="00D45B02" w:rsidRPr="00D45B02" w:rsidRDefault="00D45B02" w:rsidP="00D45B02">
    <w:pPr>
      <w:pStyle w:val="Footer"/>
      <w:jc w:val="both"/>
      <w:rPr>
        <w:rFonts w:ascii="Arial" w:hAnsi="Arial" w:cs="Arial"/>
        <w:sz w:val="16"/>
        <w:szCs w:val="16"/>
      </w:rPr>
    </w:pPr>
    <w:r w:rsidRPr="00D45B02">
      <w:rPr>
        <w:rFonts w:ascii="Arial" w:hAnsi="Arial" w:cs="Arial"/>
        <w:sz w:val="16"/>
        <w:szCs w:val="16"/>
      </w:rPr>
      <w:t>P</w:t>
    </w:r>
    <w:r w:rsidR="008F2757" w:rsidRPr="00D45B02">
      <w:rPr>
        <w:rFonts w:ascii="Arial" w:hAnsi="Arial" w:cs="Arial"/>
        <w:sz w:val="16"/>
        <w:szCs w:val="16"/>
      </w:rPr>
      <w:t>lease note that this form can be submitted electronically on the Councils website. Comments submitted on the website will not be acknowledged but you can check whether they have been received by reviewing comments on the website under the application reference number.</w:t>
    </w:r>
    <w:r w:rsidRPr="00D45B02">
      <w:rPr>
        <w:rFonts w:ascii="Arial" w:hAnsi="Arial" w:cs="Arial"/>
        <w:sz w:val="16"/>
        <w:szCs w:val="16"/>
      </w:rPr>
      <w:t xml:space="preserve"> Please note that the completed form will be posted on the Councils website and available to view by the public.  </w:t>
    </w:r>
  </w:p>
  <w:p w14:paraId="54A0854B" w14:textId="77777777" w:rsidR="008F2757" w:rsidRDefault="008F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C8C3" w14:textId="77777777" w:rsidR="00024AAC" w:rsidRDefault="00024AAC" w:rsidP="00D45B02">
      <w:pPr>
        <w:spacing w:after="0" w:line="240" w:lineRule="auto"/>
      </w:pPr>
      <w:r>
        <w:separator/>
      </w:r>
    </w:p>
  </w:footnote>
  <w:footnote w:type="continuationSeparator" w:id="0">
    <w:p w14:paraId="08B30E5A" w14:textId="77777777" w:rsidR="00024AAC" w:rsidRDefault="00024AAC" w:rsidP="00D4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D7D"/>
    <w:multiLevelType w:val="hybridMultilevel"/>
    <w:tmpl w:val="C25A7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800F4D"/>
    <w:multiLevelType w:val="hybridMultilevel"/>
    <w:tmpl w:val="77D0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91485"/>
    <w:multiLevelType w:val="hybridMultilevel"/>
    <w:tmpl w:val="3C2AA9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4A0011B"/>
    <w:multiLevelType w:val="hybridMultilevel"/>
    <w:tmpl w:val="301C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906335">
    <w:abstractNumId w:val="2"/>
  </w:num>
  <w:num w:numId="2" w16cid:durableId="1134642169">
    <w:abstractNumId w:val="3"/>
  </w:num>
  <w:num w:numId="3" w16cid:durableId="1287807319">
    <w:abstractNumId w:val="0"/>
  </w:num>
  <w:num w:numId="4" w16cid:durableId="126086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98"/>
    <w:rsid w:val="00015791"/>
    <w:rsid w:val="00024AAC"/>
    <w:rsid w:val="00047332"/>
    <w:rsid w:val="000F0E42"/>
    <w:rsid w:val="001159AB"/>
    <w:rsid w:val="00137A79"/>
    <w:rsid w:val="00141475"/>
    <w:rsid w:val="0015596E"/>
    <w:rsid w:val="001A0F59"/>
    <w:rsid w:val="001A1D47"/>
    <w:rsid w:val="001B5DD6"/>
    <w:rsid w:val="001F0B69"/>
    <w:rsid w:val="0025186D"/>
    <w:rsid w:val="002C2D0D"/>
    <w:rsid w:val="002E6331"/>
    <w:rsid w:val="002F140C"/>
    <w:rsid w:val="002F67BB"/>
    <w:rsid w:val="00305DE8"/>
    <w:rsid w:val="00317D19"/>
    <w:rsid w:val="003811D3"/>
    <w:rsid w:val="00386A5D"/>
    <w:rsid w:val="003877A4"/>
    <w:rsid w:val="003922F4"/>
    <w:rsid w:val="003B4D45"/>
    <w:rsid w:val="003F655A"/>
    <w:rsid w:val="00404B2B"/>
    <w:rsid w:val="004056CC"/>
    <w:rsid w:val="004234DC"/>
    <w:rsid w:val="00423827"/>
    <w:rsid w:val="004A106C"/>
    <w:rsid w:val="004B6CC5"/>
    <w:rsid w:val="004D514C"/>
    <w:rsid w:val="004D719A"/>
    <w:rsid w:val="00525D98"/>
    <w:rsid w:val="0054637D"/>
    <w:rsid w:val="005477B5"/>
    <w:rsid w:val="005917D4"/>
    <w:rsid w:val="005C202F"/>
    <w:rsid w:val="005F6472"/>
    <w:rsid w:val="006222BE"/>
    <w:rsid w:val="00622CE4"/>
    <w:rsid w:val="00641647"/>
    <w:rsid w:val="00660CF6"/>
    <w:rsid w:val="00680BA5"/>
    <w:rsid w:val="00686001"/>
    <w:rsid w:val="006B6284"/>
    <w:rsid w:val="006B7048"/>
    <w:rsid w:val="006C05AF"/>
    <w:rsid w:val="006F5A2A"/>
    <w:rsid w:val="0071219D"/>
    <w:rsid w:val="007254E4"/>
    <w:rsid w:val="007659AE"/>
    <w:rsid w:val="0078628D"/>
    <w:rsid w:val="007906BE"/>
    <w:rsid w:val="007A0BC0"/>
    <w:rsid w:val="007D262D"/>
    <w:rsid w:val="00811618"/>
    <w:rsid w:val="00815A63"/>
    <w:rsid w:val="00825251"/>
    <w:rsid w:val="008409C1"/>
    <w:rsid w:val="008A2C51"/>
    <w:rsid w:val="008B17CD"/>
    <w:rsid w:val="008B20DC"/>
    <w:rsid w:val="008B3E37"/>
    <w:rsid w:val="008E718F"/>
    <w:rsid w:val="008F1082"/>
    <w:rsid w:val="008F2757"/>
    <w:rsid w:val="00913E99"/>
    <w:rsid w:val="009205BB"/>
    <w:rsid w:val="00925E53"/>
    <w:rsid w:val="00950CCD"/>
    <w:rsid w:val="00996158"/>
    <w:rsid w:val="009C447F"/>
    <w:rsid w:val="009F36CA"/>
    <w:rsid w:val="009F76B8"/>
    <w:rsid w:val="00A56581"/>
    <w:rsid w:val="00A61602"/>
    <w:rsid w:val="00A8209C"/>
    <w:rsid w:val="00AA5C4B"/>
    <w:rsid w:val="00AC2586"/>
    <w:rsid w:val="00AC3391"/>
    <w:rsid w:val="00AE6B95"/>
    <w:rsid w:val="00AE7B9A"/>
    <w:rsid w:val="00B010DC"/>
    <w:rsid w:val="00B118A6"/>
    <w:rsid w:val="00B12030"/>
    <w:rsid w:val="00B32228"/>
    <w:rsid w:val="00B40EB7"/>
    <w:rsid w:val="00BA4F2F"/>
    <w:rsid w:val="00BC0A1D"/>
    <w:rsid w:val="00BF2D36"/>
    <w:rsid w:val="00C00875"/>
    <w:rsid w:val="00C6733D"/>
    <w:rsid w:val="00C909AD"/>
    <w:rsid w:val="00CF415F"/>
    <w:rsid w:val="00D159E7"/>
    <w:rsid w:val="00D45B02"/>
    <w:rsid w:val="00D719FC"/>
    <w:rsid w:val="00E0219B"/>
    <w:rsid w:val="00E5536B"/>
    <w:rsid w:val="00E602C0"/>
    <w:rsid w:val="00E86C17"/>
    <w:rsid w:val="00EC0D24"/>
    <w:rsid w:val="00F11264"/>
    <w:rsid w:val="00F170CA"/>
    <w:rsid w:val="00F17F07"/>
    <w:rsid w:val="00F3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F671143"/>
  <w15:docId w15:val="{3DB36B8A-1E7C-422E-A61D-BF406CEA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25D98"/>
    <w:pPr>
      <w:tabs>
        <w:tab w:val="center" w:pos="4513"/>
        <w:tab w:val="right" w:pos="9026"/>
      </w:tabs>
    </w:pPr>
  </w:style>
  <w:style w:type="character" w:customStyle="1" w:styleId="FooterChar">
    <w:name w:val="Footer Char"/>
    <w:link w:val="Footer"/>
    <w:uiPriority w:val="99"/>
    <w:semiHidden/>
    <w:rsid w:val="00525D98"/>
    <w:rPr>
      <w:rFonts w:ascii="Calibri" w:eastAsia="Calibri" w:hAnsi="Calibri" w:cs="Times New Roman"/>
    </w:rPr>
  </w:style>
  <w:style w:type="table" w:styleId="TableGrid">
    <w:name w:val="Table Grid"/>
    <w:basedOn w:val="TableNormal"/>
    <w:uiPriority w:val="59"/>
    <w:rsid w:val="0052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45B02"/>
    <w:pPr>
      <w:tabs>
        <w:tab w:val="center" w:pos="4513"/>
        <w:tab w:val="right" w:pos="9026"/>
      </w:tabs>
      <w:spacing w:after="0" w:line="240" w:lineRule="auto"/>
    </w:pPr>
  </w:style>
  <w:style w:type="character" w:customStyle="1" w:styleId="HeaderChar">
    <w:name w:val="Header Char"/>
    <w:link w:val="Header"/>
    <w:uiPriority w:val="99"/>
    <w:semiHidden/>
    <w:rsid w:val="00D45B02"/>
    <w:rPr>
      <w:rFonts w:ascii="Calibri" w:eastAsia="Calibri" w:hAnsi="Calibri" w:cs="Times New Roman"/>
    </w:rPr>
  </w:style>
  <w:style w:type="paragraph" w:styleId="BalloonText">
    <w:name w:val="Balloon Text"/>
    <w:basedOn w:val="Normal"/>
    <w:link w:val="BalloonTextChar"/>
    <w:uiPriority w:val="99"/>
    <w:semiHidden/>
    <w:unhideWhenUsed/>
    <w:rsid w:val="00D45B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B02"/>
    <w:rPr>
      <w:rFonts w:ascii="Tahoma" w:eastAsia="Calibri" w:hAnsi="Tahoma" w:cs="Tahoma"/>
      <w:sz w:val="16"/>
      <w:szCs w:val="16"/>
    </w:rPr>
  </w:style>
  <w:style w:type="paragraph" w:styleId="ListParagraph">
    <w:name w:val="List Paragraph"/>
    <w:basedOn w:val="Normal"/>
    <w:uiPriority w:val="34"/>
    <w:qFormat/>
    <w:rsid w:val="005F6472"/>
    <w:pPr>
      <w:spacing w:after="0"/>
      <w:ind w:left="720"/>
      <w:contextualSpacing/>
    </w:pPr>
  </w:style>
  <w:style w:type="paragraph" w:styleId="NoSpacing">
    <w:name w:val="No Spacing"/>
    <w:uiPriority w:val="1"/>
    <w:qFormat/>
    <w:rsid w:val="008409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7081">
      <w:bodyDiv w:val="1"/>
      <w:marLeft w:val="0"/>
      <w:marRight w:val="0"/>
      <w:marTop w:val="0"/>
      <w:marBottom w:val="0"/>
      <w:divBdr>
        <w:top w:val="none" w:sz="0" w:space="0" w:color="auto"/>
        <w:left w:val="none" w:sz="0" w:space="0" w:color="auto"/>
        <w:bottom w:val="none" w:sz="0" w:space="0" w:color="auto"/>
        <w:right w:val="none" w:sz="0" w:space="0" w:color="auto"/>
      </w:divBdr>
    </w:div>
    <w:div w:id="1522433288">
      <w:bodyDiv w:val="1"/>
      <w:marLeft w:val="0"/>
      <w:marRight w:val="0"/>
      <w:marTop w:val="0"/>
      <w:marBottom w:val="0"/>
      <w:divBdr>
        <w:top w:val="none" w:sz="0" w:space="0" w:color="auto"/>
        <w:left w:val="none" w:sz="0" w:space="0" w:color="auto"/>
        <w:bottom w:val="none" w:sz="0" w:space="0" w:color="auto"/>
        <w:right w:val="none" w:sz="0" w:space="0" w:color="auto"/>
      </w:divBdr>
    </w:div>
    <w:div w:id="1639989494">
      <w:bodyDiv w:val="1"/>
      <w:marLeft w:val="0"/>
      <w:marRight w:val="0"/>
      <w:marTop w:val="0"/>
      <w:marBottom w:val="0"/>
      <w:divBdr>
        <w:top w:val="none" w:sz="0" w:space="0" w:color="auto"/>
        <w:left w:val="none" w:sz="0" w:space="0" w:color="auto"/>
        <w:bottom w:val="none" w:sz="0" w:space="0" w:color="auto"/>
        <w:right w:val="none" w:sz="0" w:space="0" w:color="auto"/>
      </w:divBdr>
    </w:div>
    <w:div w:id="19071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babreview.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c90b0-38f2-4d4a-99ea-031059d191c2">
      <Terms xmlns="http://schemas.microsoft.com/office/infopath/2007/PartnerControls"/>
    </lcf76f155ced4ddcb4097134ff3c332f>
    <TaxCatchAll xmlns="c2664a79-626b-4390-9dde-f2f3e70d7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0F6C8C5A6BDA47BE6E113ECCB664B2" ma:contentTypeVersion="13" ma:contentTypeDescription="Create a new document." ma:contentTypeScope="" ma:versionID="b8bf777e99cfc46fa6e66d7eed933a20">
  <xsd:schema xmlns:xsd="http://www.w3.org/2001/XMLSchema" xmlns:xs="http://www.w3.org/2001/XMLSchema" xmlns:p="http://schemas.microsoft.com/office/2006/metadata/properties" xmlns:ns2="325c90b0-38f2-4d4a-99ea-031059d191c2" xmlns:ns3="c2664a79-626b-4390-9dde-f2f3e70d74ff" targetNamespace="http://schemas.microsoft.com/office/2006/metadata/properties" ma:root="true" ma:fieldsID="3011285fa3c2df2c28523f8080d08e6f" ns2:_="" ns3:_="">
    <xsd:import namespace="325c90b0-38f2-4d4a-99ea-031059d191c2"/>
    <xsd:import namespace="c2664a79-626b-4390-9dde-f2f3e70d7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c90b0-38f2-4d4a-99ea-031059d19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9acc10-f9e9-4916-bc5f-62b8062e9e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64a79-626b-4390-9dde-f2f3e70d74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feb872-48ba-4826-924c-690259f8a9be}" ma:internalName="TaxCatchAll" ma:showField="CatchAllData" ma:web="c2664a79-626b-4390-9dde-f2f3e70d7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56022-4AAA-44B1-B772-675C1C51603D}">
  <ds:schemaRefs>
    <ds:schemaRef ds:uri="http://schemas.openxmlformats.org/officeDocument/2006/bibliography"/>
  </ds:schemaRefs>
</ds:datastoreItem>
</file>

<file path=customXml/itemProps2.xml><?xml version="1.0" encoding="utf-8"?>
<ds:datastoreItem xmlns:ds="http://schemas.openxmlformats.org/officeDocument/2006/customXml" ds:itemID="{73E6C65E-28CE-4F52-98C0-04F7996ED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82C90-97FE-4B22-AF39-A13A8E4F9E81}">
  <ds:schemaRefs>
    <ds:schemaRef ds:uri="http://schemas.microsoft.com/sharepoint/v3/contenttype/forms"/>
  </ds:schemaRefs>
</ds:datastoreItem>
</file>

<file path=customXml/itemProps4.xml><?xml version="1.0" encoding="utf-8"?>
<ds:datastoreItem xmlns:ds="http://schemas.openxmlformats.org/officeDocument/2006/customXml" ds:itemID="{52B5E1B0-4663-4FE0-BAED-4B854E8D8265}"/>
</file>

<file path=docProps/app.xml><?xml version="1.0" encoding="utf-8"?>
<Properties xmlns="http://schemas.openxmlformats.org/officeDocument/2006/extended-properties" xmlns:vt="http://schemas.openxmlformats.org/officeDocument/2006/docPropsVTypes">
  <Template>Normal</Template>
  <TotalTime>724</TotalTime>
  <Pages>6</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Babergh District Council</Company>
  <LinksUpToDate>false</LinksUpToDate>
  <CharactersWithSpaces>13592</CharactersWithSpaces>
  <SharedDoc>false</SharedDoc>
  <HLinks>
    <vt:vector size="6" baseType="variant">
      <vt:variant>
        <vt:i4>4653084</vt:i4>
      </vt:variant>
      <vt:variant>
        <vt:i4>-1</vt:i4>
      </vt:variant>
      <vt:variant>
        <vt:i4>1026</vt:i4>
      </vt:variant>
      <vt:variant>
        <vt:i4>4</vt:i4>
      </vt:variant>
      <vt:variant>
        <vt:lpwstr>http://intranet/babreview.htm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chamberg</dc:creator>
  <cp:lastModifiedBy>Lucy Birch</cp:lastModifiedBy>
  <cp:revision>8</cp:revision>
  <dcterms:created xsi:type="dcterms:W3CDTF">2023-12-20T15:35:00Z</dcterms:created>
  <dcterms:modified xsi:type="dcterms:W3CDTF">2024-01-08T10:57:00Z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0x010100F10F6C8C5A6BDA47BE6E113ECCB664B2</vt:lpwstr>
  </property>
</Properties>
</file>