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75C40EAD" w:rsidR="00280263" w:rsidRPr="00806633" w:rsidRDefault="009C2795" w:rsidP="002F0EBE">
      <w:r>
        <w:t>Babergh</w:t>
      </w:r>
      <w:r w:rsidR="0058099C">
        <w:t xml:space="preserve"> District Council offer</w:t>
      </w:r>
      <w:r>
        <w:t>s</w:t>
      </w:r>
      <w:r w:rsidR="00733D82" w:rsidRPr="00733D82">
        <w:t xml:space="preserve"> Community Grants to </w:t>
      </w:r>
      <w:r w:rsidR="0058099C">
        <w:t>organisations</w:t>
      </w:r>
      <w:r w:rsidR="00733D82" w:rsidRPr="00733D82">
        <w:t xml:space="preserve"> that deliver </w:t>
      </w:r>
      <w:r w:rsidR="00A51E48">
        <w:t xml:space="preserve">community </w:t>
      </w:r>
      <w:r w:rsidR="00733D82" w:rsidRPr="00733D82">
        <w:t>support, projects or activities within</w:t>
      </w:r>
      <w:r w:rsidR="00733D82">
        <w:t xml:space="preserve"> </w:t>
      </w:r>
      <w:r>
        <w:t>Babergh</w:t>
      </w:r>
      <w:r w:rsidR="00733D82" w:rsidRPr="00733D82">
        <w:t>.</w:t>
      </w:r>
      <w:r w:rsidR="00433224">
        <w:t xml:space="preserve"> </w:t>
      </w:r>
      <w:hyperlink r:id="rId11" w:history="1">
        <w:r w:rsidR="00433224" w:rsidRPr="00433224">
          <w:rPr>
            <w:rStyle w:val="Hyperlink"/>
          </w:rPr>
          <w:t>Our Plan for Babergh</w:t>
        </w:r>
      </w:hyperlink>
      <w:r w:rsidR="00433224">
        <w:t xml:space="preserve"> </w:t>
      </w:r>
      <w:r w:rsidR="002F0EBE" w:rsidRPr="00982853">
        <w:t xml:space="preserve">outlines the priorities of Mid Suffolk District Council. All funding awarded by the Council aligns to one or more of our priorities. </w:t>
      </w:r>
    </w:p>
    <w:p w14:paraId="2F7249EF" w14:textId="77777777" w:rsidR="00733D82" w:rsidRPr="00733D82" w:rsidRDefault="00733D82" w:rsidP="00733D82"/>
    <w:p w14:paraId="4E8B16C9" w14:textId="38D08358" w:rsidR="00733D82" w:rsidRDefault="00733D82" w:rsidP="00733D82">
      <w:r w:rsidRPr="00733D82">
        <w:t xml:space="preserve">These notes are designed to help you complete our </w:t>
      </w:r>
      <w:r w:rsidR="002F0EBE">
        <w:t>Community Development Grant</w:t>
      </w:r>
      <w:r w:rsidRPr="00733D82">
        <w:t xml:space="preserve"> application forms and we suggest that you read them through fully before you complete the forms. </w:t>
      </w:r>
    </w:p>
    <w:p w14:paraId="47B98EDB" w14:textId="77777777" w:rsidR="00757C8D" w:rsidRDefault="00757C8D" w:rsidP="00733D82"/>
    <w:p w14:paraId="5BC06416" w14:textId="06B0647D" w:rsidR="004778B1" w:rsidRDefault="00F74228" w:rsidP="00733D82">
      <w:r>
        <w:t xml:space="preserve">Details on our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08926DB7" w14:textId="24664994" w:rsidR="004778B1" w:rsidRDefault="004778B1" w:rsidP="00F043C8">
      <w:pPr>
        <w:pStyle w:val="Heading3"/>
        <w:numPr>
          <w:ilvl w:val="1"/>
          <w:numId w:val="28"/>
        </w:numPr>
      </w:pPr>
      <w:r>
        <w:t>What has changed?</w:t>
      </w:r>
    </w:p>
    <w:p w14:paraId="6E03250A" w14:textId="124335C1" w:rsidR="004778B1" w:rsidRDefault="004778B1" w:rsidP="004778B1">
      <w:r>
        <w:t>The way we administer community grants</w:t>
      </w:r>
      <w:r w:rsidR="00FC0807">
        <w:t xml:space="preserve"> </w:t>
      </w:r>
      <w:r>
        <w:t>is changing following our VCSFE Funding Review, which was agreed by both Babergh and Mid Suffolk District Councils earlier this year.</w:t>
      </w:r>
    </w:p>
    <w:p w14:paraId="3004875C" w14:textId="77777777" w:rsidR="004778B1" w:rsidRDefault="004778B1" w:rsidP="004778B1"/>
    <w:p w14:paraId="09B0E2D4" w14:textId="3736DA87" w:rsidR="004778B1" w:rsidRDefault="004778B1" w:rsidP="004778B1">
      <w:r>
        <w:t xml:space="preserve">Previously, grants in both Babergh and Mid Suffolk have been separated depending on what </w:t>
      </w:r>
    </w:p>
    <w:p w14:paraId="61FA8B99" w14:textId="4D298B5E" w:rsidR="004778B1" w:rsidRDefault="004778B1" w:rsidP="004778B1">
      <w:r>
        <w:t xml:space="preserve">organisations are seeking funding for. Yearly running costs were supported through revenue </w:t>
      </w:r>
    </w:p>
    <w:p w14:paraId="63CA4957" w14:textId="599D7414" w:rsidR="004778B1" w:rsidRDefault="004778B1" w:rsidP="004778B1">
      <w:r>
        <w:t xml:space="preserve">grants, while capital expenditure needs were met through capital grants. </w:t>
      </w:r>
    </w:p>
    <w:p w14:paraId="41DA9A95" w14:textId="77777777" w:rsidR="004778B1" w:rsidRDefault="004778B1" w:rsidP="004778B1"/>
    <w:p w14:paraId="4EDC779C" w14:textId="13199AD4" w:rsidR="00F74228" w:rsidRPr="000429FB" w:rsidRDefault="004778B1" w:rsidP="004778B1">
      <w:r w:rsidRPr="000429FB">
        <w:t xml:space="preserve">However, we have combined grants to deliver one community grant stream </w:t>
      </w:r>
      <w:r w:rsidR="008235A0" w:rsidRPr="000429FB">
        <w:t xml:space="preserve">to support a wide range of activities </w:t>
      </w:r>
      <w:r w:rsidRPr="000429FB">
        <w:t>encompassing capital, revenue and pre-project/feasibility costs for the new financial year 25/26.</w:t>
      </w:r>
      <w:r w:rsidR="007B48AB" w:rsidRPr="000429FB">
        <w:t xml:space="preserve"> </w:t>
      </w:r>
      <w:r w:rsidRPr="000429FB">
        <w:t>This is called the Community Development Grant.</w:t>
      </w:r>
    </w:p>
    <w:p w14:paraId="1A609E84" w14:textId="77777777" w:rsidR="004778B1" w:rsidRDefault="004778B1" w:rsidP="004778B1"/>
    <w:p w14:paraId="052F4911" w14:textId="2230557B" w:rsidR="007643E2" w:rsidRDefault="00A57E3F" w:rsidP="00F043C8">
      <w:pPr>
        <w:pStyle w:val="Heading1"/>
        <w:numPr>
          <w:ilvl w:val="0"/>
          <w:numId w:val="28"/>
        </w:numPr>
      </w:pPr>
      <w:r>
        <w:t>Community Development Grants</w:t>
      </w:r>
    </w:p>
    <w:p w14:paraId="728A17F3" w14:textId="0E6ED89B" w:rsidR="00E145B6" w:rsidRDefault="004778B1"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Eligible towards r</w:t>
      </w:r>
      <w:r w:rsidR="00E145B6">
        <w:rPr>
          <w:rStyle w:val="normaltextrun"/>
          <w:rFonts w:ascii="Arial" w:hAnsi="Arial" w:cs="Arial"/>
          <w:color w:val="000000"/>
        </w:rPr>
        <w:t>evenue, capital or pre-project costs or activities, up to 100% of total project costs (to a maximum grant of £</w:t>
      </w:r>
      <w:r w:rsidR="007031EF">
        <w:rPr>
          <w:rStyle w:val="normaltextrun"/>
          <w:rFonts w:ascii="Arial" w:hAnsi="Arial" w:cs="Arial"/>
          <w:color w:val="000000"/>
        </w:rPr>
        <w:t>1</w:t>
      </w:r>
      <w:r w:rsidR="00E145B6">
        <w:rPr>
          <w:rStyle w:val="normaltextrun"/>
          <w:rFonts w:ascii="Arial" w:hAnsi="Arial" w:cs="Arial"/>
          <w:color w:val="000000"/>
        </w:rPr>
        <w:t xml:space="preserve">0,000). </w:t>
      </w:r>
      <w:r w:rsidR="00E145B6" w:rsidRPr="00212A59">
        <w:rPr>
          <w:rStyle w:val="normaltextrun"/>
          <w:rFonts w:ascii="Arial" w:hAnsi="Arial" w:cs="Arial"/>
          <w:color w:val="000000"/>
        </w:rPr>
        <w:t xml:space="preserve">Applicants can only make one application </w:t>
      </w:r>
      <w:r w:rsidR="00086F49" w:rsidRPr="00212A59">
        <w:rPr>
          <w:rStyle w:val="normaltextrun"/>
          <w:rFonts w:ascii="Arial" w:hAnsi="Arial" w:cs="Arial"/>
          <w:color w:val="000000"/>
        </w:rPr>
        <w:t xml:space="preserve">per financial year </w:t>
      </w:r>
      <w:r w:rsidR="00E145B6" w:rsidRPr="00212A59">
        <w:rPr>
          <w:rStyle w:val="normaltextrun"/>
          <w:rFonts w:ascii="Arial" w:hAnsi="Arial" w:cs="Arial"/>
          <w:color w:val="000000"/>
        </w:rPr>
        <w:t>to the Community Development Grant</w:t>
      </w:r>
      <w:r w:rsidR="00212A59" w:rsidRPr="00212A59">
        <w:rPr>
          <w:rStyle w:val="normaltextrun"/>
          <w:rFonts w:ascii="Arial" w:hAnsi="Arial" w:cs="Arial"/>
          <w:color w:val="000000"/>
        </w:rPr>
        <w:t>.</w:t>
      </w:r>
    </w:p>
    <w:p w14:paraId="07DCB9A7" w14:textId="77777777" w:rsidR="00A57E3F" w:rsidRPr="00A57E3F" w:rsidRDefault="00A57E3F" w:rsidP="00A57E3F"/>
    <w:p w14:paraId="793B5B7E" w14:textId="3BCE474D" w:rsidR="00A57E3F" w:rsidRDefault="001272AA" w:rsidP="00A57E3F">
      <w:r>
        <w:t xml:space="preserve">Applications must demonstrate a clear need for their project/organisation within </w:t>
      </w:r>
      <w:r w:rsidR="00433224">
        <w:t>Babergh</w:t>
      </w:r>
      <w:r>
        <w:t xml:space="preserve"> and wider community benefit.</w:t>
      </w:r>
      <w:r w:rsidR="00834433">
        <w:t xml:space="preserve"> </w:t>
      </w:r>
      <w:r>
        <w:t xml:space="preserve"> Applications which are not fully filled or lack required supporting documentation will not be considered eligible. </w:t>
      </w:r>
    </w:p>
    <w:p w14:paraId="2DEA8DD1" w14:textId="77777777" w:rsidR="001272AA" w:rsidRDefault="001272AA" w:rsidP="00A57E3F"/>
    <w:p w14:paraId="70AEBDD5" w14:textId="65622BF2" w:rsidR="001272AA" w:rsidRDefault="001272AA" w:rsidP="00A57E3F">
      <w:r>
        <w:t xml:space="preserve">Match funding is not required, though is encouraged.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48259D78" w:rsidR="0092392E" w:rsidRPr="003D39FF" w:rsidRDefault="0092392E" w:rsidP="00331272">
      <w:pPr>
        <w:pStyle w:val="ListParagraph"/>
        <w:numPr>
          <w:ilvl w:val="0"/>
          <w:numId w:val="2"/>
        </w:numPr>
      </w:pPr>
      <w:r w:rsidRPr="003D39FF">
        <w:t xml:space="preserve">Provide a service for the benefit of Babergh </w:t>
      </w:r>
      <w:r w:rsidR="0030108F">
        <w:t>and/</w:t>
      </w:r>
      <w:r w:rsidRPr="003D39FF">
        <w:t>or Mid Suffolk residents</w:t>
      </w:r>
    </w:p>
    <w:p w14:paraId="758EC81B" w14:textId="4F4765DC" w:rsidR="0092392E" w:rsidRPr="003D39FF" w:rsidRDefault="0092392E" w:rsidP="00331272">
      <w:pPr>
        <w:pStyle w:val="ListParagraph"/>
        <w:numPr>
          <w:ilvl w:val="0"/>
          <w:numId w:val="2"/>
        </w:numPr>
      </w:pPr>
      <w:r w:rsidRPr="003D39FF">
        <w:lastRenderedPageBreak/>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28D0B261" w14:textId="11853A67"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70C13808" w14:textId="43BE31F9" w:rsidR="00F043C8" w:rsidRDefault="00946074" w:rsidP="00946074">
      <w:pPr>
        <w:pStyle w:val="Heading3"/>
        <w:numPr>
          <w:ilvl w:val="1"/>
          <w:numId w:val="28"/>
        </w:numPr>
      </w:pPr>
      <w:r>
        <w:t>Ineligible Organisations</w:t>
      </w:r>
    </w:p>
    <w:p w14:paraId="60528DCB" w14:textId="695804E8" w:rsidR="00946074" w:rsidRDefault="00946074" w:rsidP="00946074">
      <w:r>
        <w:t xml:space="preserve">Community </w:t>
      </w:r>
      <w:r w:rsidR="004847BA">
        <w:t xml:space="preserve">Development </w:t>
      </w:r>
      <w:r>
        <w:t>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5D1D515" w:rsidR="008D3BD5" w:rsidRPr="00F2668A"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19887721" w:rsidR="008D3BD5" w:rsidRPr="00F2668A" w:rsidRDefault="008D3BD5" w:rsidP="00331272">
      <w:pPr>
        <w:pStyle w:val="NoSpacing"/>
        <w:numPr>
          <w:ilvl w:val="0"/>
          <w:numId w:val="4"/>
        </w:numPr>
      </w:pPr>
      <w:r w:rsidRPr="00F2668A">
        <w:t xml:space="preserve">All services/projects need to be delivered within a specified </w:t>
      </w:r>
      <w:r w:rsidR="00C848A0" w:rsidRPr="00F2668A">
        <w:t>time</w:t>
      </w:r>
      <w:r w:rsidRPr="00F2668A">
        <w:t xml:space="preserve"> period. 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4C2F7E33"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55095633"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r w:rsidR="00F2668A">
        <w:t>.</w:t>
      </w:r>
    </w:p>
    <w:p w14:paraId="2F073F77" w14:textId="7E04A03C" w:rsidR="008D3BD5" w:rsidRPr="000F1AE5" w:rsidRDefault="008D3BD5" w:rsidP="00331272">
      <w:pPr>
        <w:pStyle w:val="NoSpacing"/>
        <w:numPr>
          <w:ilvl w:val="0"/>
          <w:numId w:val="4"/>
        </w:numPr>
      </w:pPr>
      <w:r w:rsidRPr="000F1AE5">
        <w:lastRenderedPageBreak/>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C92DCAE" w:rsidR="00AA2F3A" w:rsidRPr="00AA2F3A" w:rsidRDefault="00AA2F3A" w:rsidP="00AA2F3A">
      <w:r w:rsidRPr="00207C9A">
        <w:t xml:space="preserve">A range of projects and costs can be applied for through Community Development Grants. Applications can include </w:t>
      </w:r>
      <w:r w:rsidR="002A75A7" w:rsidRPr="00207C9A">
        <w:t>more than one element, i.e., an application can encompass pre-project costs as well as revenue costs.</w:t>
      </w:r>
      <w:r w:rsidR="002A75A7">
        <w:t xml:space="preserve"> </w:t>
      </w:r>
    </w:p>
    <w:p w14:paraId="152F134C" w14:textId="3F18BDB9" w:rsidR="004847BA" w:rsidRDefault="004847BA" w:rsidP="00F043C8">
      <w:pPr>
        <w:pStyle w:val="Heading3"/>
        <w:numPr>
          <w:ilvl w:val="1"/>
          <w:numId w:val="28"/>
        </w:numPr>
      </w:pPr>
      <w:r>
        <w:t>Capital</w:t>
      </w:r>
      <w:r w:rsidR="00A64956">
        <w:t xml:space="preserve"> Projects</w:t>
      </w:r>
    </w:p>
    <w:p w14:paraId="36E51724" w14:textId="34492AED" w:rsidR="004847BA" w:rsidRDefault="0030108F" w:rsidP="004847BA">
      <w:r>
        <w:t xml:space="preserve">Funding is available towards repairs or improvements to social infrastructure, such as village halls, play areas and playing fields, sports clubs and facilities, and youth groups. Funding is also available to Charities seeking to make </w:t>
      </w:r>
      <w:r w:rsidR="004D794D">
        <w:t xml:space="preserve">capital purchases or improvements to their facilities. </w:t>
      </w:r>
    </w:p>
    <w:p w14:paraId="1146A8E3" w14:textId="77777777" w:rsidR="004D794D" w:rsidRDefault="004D794D" w:rsidP="004847BA"/>
    <w:p w14:paraId="7FD1EFD2" w14:textId="6C32762E" w:rsidR="004D794D" w:rsidRDefault="004D794D" w:rsidP="004847BA">
      <w:r>
        <w:t xml:space="preserve">Funding is not available towards the purchase of land, or projects where there is not community access. </w:t>
      </w:r>
    </w:p>
    <w:p w14:paraId="0912B2BD" w14:textId="55BF10AF" w:rsidR="004847BA" w:rsidRDefault="004847BA" w:rsidP="00F043C8">
      <w:pPr>
        <w:pStyle w:val="Heading3"/>
        <w:numPr>
          <w:ilvl w:val="1"/>
          <w:numId w:val="28"/>
        </w:numPr>
      </w:pPr>
      <w:r>
        <w:t>Revenue</w:t>
      </w:r>
      <w:r w:rsidR="00C156A3">
        <w:t xml:space="preserve"> Costs</w:t>
      </w:r>
    </w:p>
    <w:p w14:paraId="1CFD6E22" w14:textId="2AA4F62F" w:rsidR="00C156A3" w:rsidRDefault="00C156A3" w:rsidP="00C156A3">
      <w:r>
        <w:t>Grants can be awarded towards an organisation’s core running costs, such as salaries or administrative costs.</w:t>
      </w:r>
      <w:r w:rsidR="0071501A">
        <w:t xml:space="preserve"> </w:t>
      </w:r>
      <w:r>
        <w:t xml:space="preserve"> Funding is limited to organisations which can demonstrate community benefits delivered to a larger area than a specific village or Parish within Babergh and/or Mid Suffolk. </w:t>
      </w:r>
      <w:r w:rsidRPr="009365E3">
        <w:t xml:space="preserve"> </w:t>
      </w:r>
    </w:p>
    <w:p w14:paraId="4176D143" w14:textId="77777777" w:rsidR="00C156A3" w:rsidRDefault="00C156A3" w:rsidP="00C156A3"/>
    <w:p w14:paraId="0646D90D" w14:textId="77777777" w:rsidR="00C156A3" w:rsidRDefault="00C156A3" w:rsidP="00C156A3">
      <w:r>
        <w:t>Costs which can be applied for can include the following:</w:t>
      </w:r>
    </w:p>
    <w:p w14:paraId="670175CD" w14:textId="77777777" w:rsidR="00C156A3" w:rsidRDefault="00C156A3" w:rsidP="00C156A3">
      <w:r>
        <w:t xml:space="preserve"> </w:t>
      </w:r>
    </w:p>
    <w:p w14:paraId="3E112E83" w14:textId="77777777" w:rsidR="00C156A3" w:rsidRDefault="00C156A3" w:rsidP="00C156A3">
      <w:pPr>
        <w:pStyle w:val="ListParagraph"/>
        <w:numPr>
          <w:ilvl w:val="0"/>
          <w:numId w:val="26"/>
        </w:numPr>
      </w:pPr>
      <w:r>
        <w:t>Management and administration</w:t>
      </w:r>
    </w:p>
    <w:p w14:paraId="343226CA" w14:textId="77777777" w:rsidR="00C156A3" w:rsidRDefault="00C156A3" w:rsidP="00C156A3">
      <w:pPr>
        <w:pStyle w:val="ListParagraph"/>
        <w:numPr>
          <w:ilvl w:val="0"/>
          <w:numId w:val="26"/>
        </w:numPr>
      </w:pPr>
      <w:r>
        <w:t>HR and payroll</w:t>
      </w:r>
    </w:p>
    <w:p w14:paraId="0306ED00" w14:textId="77777777" w:rsidR="00C156A3" w:rsidRDefault="00C156A3" w:rsidP="00C156A3">
      <w:pPr>
        <w:pStyle w:val="ListParagraph"/>
        <w:numPr>
          <w:ilvl w:val="0"/>
          <w:numId w:val="26"/>
        </w:numPr>
      </w:pPr>
      <w:r>
        <w:t>General office expenses</w:t>
      </w:r>
    </w:p>
    <w:p w14:paraId="3BBED5C4" w14:textId="77777777" w:rsidR="00C156A3" w:rsidRDefault="00C156A3" w:rsidP="00C156A3">
      <w:pPr>
        <w:pStyle w:val="ListParagraph"/>
        <w:numPr>
          <w:ilvl w:val="0"/>
          <w:numId w:val="26"/>
        </w:numPr>
      </w:pPr>
      <w:r>
        <w:t>Accountancy and audit</w:t>
      </w:r>
    </w:p>
    <w:p w14:paraId="231BA5F6" w14:textId="77777777" w:rsidR="00C156A3" w:rsidRDefault="00C156A3" w:rsidP="00C156A3">
      <w:pPr>
        <w:pStyle w:val="ListParagraph"/>
        <w:numPr>
          <w:ilvl w:val="0"/>
          <w:numId w:val="26"/>
        </w:numPr>
      </w:pPr>
      <w:r>
        <w:t>Communications and outreach</w:t>
      </w:r>
    </w:p>
    <w:p w14:paraId="76BA8C1B" w14:textId="77777777" w:rsidR="00C156A3" w:rsidRDefault="00C156A3" w:rsidP="00C156A3">
      <w:pPr>
        <w:pStyle w:val="ListParagraph"/>
        <w:numPr>
          <w:ilvl w:val="0"/>
          <w:numId w:val="26"/>
        </w:numPr>
      </w:pPr>
      <w:r>
        <w:t>Monitoring, evaluation, and learning</w:t>
      </w:r>
    </w:p>
    <w:p w14:paraId="6D9DDB6C" w14:textId="77777777" w:rsidR="00C156A3" w:rsidRDefault="00C156A3" w:rsidP="00C156A3">
      <w:pPr>
        <w:pStyle w:val="ListParagraph"/>
        <w:numPr>
          <w:ilvl w:val="0"/>
          <w:numId w:val="26"/>
        </w:numPr>
      </w:pPr>
      <w:r>
        <w:t>Governance, regulatory, and compliance costs</w:t>
      </w:r>
    </w:p>
    <w:p w14:paraId="5BF7A290" w14:textId="77777777" w:rsidR="00C156A3" w:rsidRDefault="00C156A3" w:rsidP="00C156A3">
      <w:pPr>
        <w:pStyle w:val="ListParagraph"/>
        <w:numPr>
          <w:ilvl w:val="0"/>
          <w:numId w:val="26"/>
        </w:numPr>
      </w:pPr>
      <w:r>
        <w:t>Facility and energy costs</w:t>
      </w:r>
    </w:p>
    <w:p w14:paraId="4624508B" w14:textId="77777777" w:rsidR="00C156A3" w:rsidRDefault="00C156A3" w:rsidP="00C156A3"/>
    <w:p w14:paraId="7A32C35A" w14:textId="77777777" w:rsidR="00C156A3" w:rsidRDefault="00C156A3" w:rsidP="00C156A3">
      <w:r>
        <w:t>Ineligible costs include the following:</w:t>
      </w:r>
    </w:p>
    <w:p w14:paraId="087D5241" w14:textId="77777777" w:rsidR="00C156A3" w:rsidRDefault="00C156A3" w:rsidP="00C156A3"/>
    <w:p w14:paraId="23BC00BD" w14:textId="77777777" w:rsidR="00C156A3" w:rsidRDefault="00C156A3" w:rsidP="00C156A3">
      <w:pPr>
        <w:pStyle w:val="ListParagraph"/>
        <w:numPr>
          <w:ilvl w:val="0"/>
          <w:numId w:val="27"/>
        </w:numPr>
      </w:pPr>
      <w:r>
        <w:t>Purchase of equipment or capital costs</w:t>
      </w:r>
      <w:r w:rsidRPr="001937DB">
        <w:t xml:space="preserve"> </w:t>
      </w:r>
    </w:p>
    <w:p w14:paraId="7E751485" w14:textId="77777777" w:rsidR="00C156A3" w:rsidRDefault="00C156A3" w:rsidP="00C156A3">
      <w:pPr>
        <w:ind w:left="360"/>
      </w:pPr>
    </w:p>
    <w:p w14:paraId="1F45A65E" w14:textId="654FD330" w:rsidR="00817430" w:rsidRDefault="00C156A3" w:rsidP="00C156A3">
      <w:r>
        <w:t xml:space="preserve">Parish and Town Councils are ineligible to apply </w:t>
      </w:r>
      <w:r w:rsidR="00613B8E">
        <w:t xml:space="preserve">towards revenue costs. </w:t>
      </w:r>
    </w:p>
    <w:p w14:paraId="542CEBAD" w14:textId="77777777" w:rsidR="00817430" w:rsidRDefault="00817430" w:rsidP="00C156A3"/>
    <w:p w14:paraId="52921E02" w14:textId="623BD2C1" w:rsidR="00817430" w:rsidRDefault="00817430" w:rsidP="00C156A3">
      <w:r>
        <w:t xml:space="preserve">Funding is limited to one financial year’s running costs, with the exception of organisations </w:t>
      </w:r>
      <w:r w:rsidR="001E0D87">
        <w:t>identified as</w:t>
      </w:r>
      <w:r>
        <w:t xml:space="preserve"> strategic partners. </w:t>
      </w:r>
    </w:p>
    <w:p w14:paraId="411EE8AF" w14:textId="410AEABE" w:rsidR="00613B8E" w:rsidRDefault="00613B8E" w:rsidP="00F043C8">
      <w:pPr>
        <w:pStyle w:val="Heading3"/>
        <w:numPr>
          <w:ilvl w:val="1"/>
          <w:numId w:val="28"/>
        </w:numPr>
      </w:pPr>
      <w:r>
        <w:lastRenderedPageBreak/>
        <w:t>Revenue Projects</w:t>
      </w:r>
    </w:p>
    <w:p w14:paraId="0C87F574" w14:textId="4CC6D3C7" w:rsidR="00A64956" w:rsidRDefault="000078D0" w:rsidP="00A64956">
      <w:r>
        <w:t>Funding is available towards the delivery and running costs of new and existing community groups and services. This may include wellbeing groups, projects</w:t>
      </w:r>
      <w:r w:rsidR="00097CC9">
        <w:t xml:space="preserve"> </w:t>
      </w:r>
      <w:r w:rsidR="00B85694" w:rsidRPr="00B85694">
        <w:t>that support communities to reduce isolation, improve social contact and improve wellbeing</w:t>
      </w:r>
      <w:r w:rsidR="00097CC9">
        <w:t xml:space="preserve">. </w:t>
      </w:r>
    </w:p>
    <w:p w14:paraId="4D9595AE" w14:textId="77777777" w:rsidR="00097CC9" w:rsidRDefault="00097CC9" w:rsidP="00A64956"/>
    <w:p w14:paraId="42FF3AF8" w14:textId="3054A76E" w:rsidR="00097CC9" w:rsidRPr="00A64956" w:rsidRDefault="00097CC9" w:rsidP="00A64956">
      <w:r>
        <w:t>Ineligible projects and costs include the following:</w:t>
      </w:r>
    </w:p>
    <w:p w14:paraId="33334005" w14:textId="77777777" w:rsidR="00A64956" w:rsidRDefault="00A64956" w:rsidP="00A64956">
      <w:pPr>
        <w:pStyle w:val="NoSpacing"/>
        <w:numPr>
          <w:ilvl w:val="0"/>
          <w:numId w:val="22"/>
        </w:numPr>
        <w:rPr>
          <w:rStyle w:val="normaltextrun"/>
        </w:rPr>
      </w:pPr>
      <w:r>
        <w:rPr>
          <w:rStyle w:val="normaltextrun"/>
        </w:rPr>
        <w:t>Purchase of equipment where there is no clear evidence of need</w:t>
      </w:r>
    </w:p>
    <w:p w14:paraId="502BC32D" w14:textId="77777777" w:rsidR="00A64956" w:rsidRDefault="00A64956" w:rsidP="00A64956">
      <w:pPr>
        <w:pStyle w:val="NoSpacing"/>
        <w:numPr>
          <w:ilvl w:val="0"/>
          <w:numId w:val="22"/>
        </w:numPr>
        <w:rPr>
          <w:rStyle w:val="normaltextrun"/>
        </w:rPr>
      </w:pPr>
      <w:r>
        <w:rPr>
          <w:rStyle w:val="normaltextrun"/>
        </w:rPr>
        <w:t>Fundraising events</w:t>
      </w:r>
    </w:p>
    <w:p w14:paraId="39EB7A80" w14:textId="77777777" w:rsidR="00A64956" w:rsidRDefault="00A64956" w:rsidP="00A64956">
      <w:pPr>
        <w:pStyle w:val="NoSpacing"/>
        <w:numPr>
          <w:ilvl w:val="0"/>
          <w:numId w:val="22"/>
        </w:numPr>
        <w:rPr>
          <w:rStyle w:val="normaltextrun"/>
        </w:rPr>
      </w:pPr>
      <w:r>
        <w:rPr>
          <w:rStyle w:val="normaltextrun"/>
        </w:rPr>
        <w:t>One-off revenue costs such as trips and outings, without a long-term benefit to the community</w:t>
      </w:r>
    </w:p>
    <w:p w14:paraId="7DD98CAE" w14:textId="32B7A148" w:rsidR="00C156A3" w:rsidRPr="00C156A3" w:rsidRDefault="00A64956" w:rsidP="00C156A3">
      <w:pPr>
        <w:pStyle w:val="NoSpacing"/>
        <w:numPr>
          <w:ilvl w:val="0"/>
          <w:numId w:val="22"/>
        </w:numPr>
      </w:pPr>
      <w:r>
        <w:rPr>
          <w:rStyle w:val="normaltextrun"/>
        </w:rPr>
        <w:t>Grants, bursaries and vouchers to individuals</w:t>
      </w:r>
    </w:p>
    <w:p w14:paraId="48808294" w14:textId="44FBD572" w:rsidR="004847BA" w:rsidRDefault="004847BA" w:rsidP="00F043C8">
      <w:pPr>
        <w:pStyle w:val="Heading3"/>
        <w:numPr>
          <w:ilvl w:val="1"/>
          <w:numId w:val="28"/>
        </w:numPr>
      </w:pPr>
      <w:r>
        <w:t>Pre-Project</w:t>
      </w:r>
      <w:r w:rsidR="005D738E">
        <w:t xml:space="preserve"> Costs</w:t>
      </w:r>
    </w:p>
    <w:p w14:paraId="34E0E947" w14:textId="1EB0A4A5" w:rsidR="007F531E" w:rsidRPr="007F531E" w:rsidRDefault="007F531E" w:rsidP="007F531E">
      <w:r>
        <w:t xml:space="preserve">Costs that will enable the delivery of larger projects are eligible for applications through Community Development Grants. This may include feasibility studies or architectural costs. Obligations such as planning application fees and building regulations approval costs are not eligible. </w:t>
      </w:r>
    </w:p>
    <w:p w14:paraId="2AAEDAE2" w14:textId="31F75976" w:rsidR="004847BA" w:rsidRDefault="004847BA" w:rsidP="00F043C8">
      <w:pPr>
        <w:pStyle w:val="Heading3"/>
        <w:numPr>
          <w:ilvl w:val="1"/>
          <w:numId w:val="28"/>
        </w:numPr>
      </w:pPr>
      <w:r>
        <w:t>Cultural</w:t>
      </w:r>
      <w:r w:rsidR="005D738E">
        <w:t xml:space="preserve"> Organisations or Projects</w:t>
      </w:r>
    </w:p>
    <w:p w14:paraId="1D6E6C96" w14:textId="784A9F85" w:rsidR="004847BA" w:rsidRDefault="00D00EB7" w:rsidP="004847BA">
      <w:r>
        <w:t>Organisations delivering cultural projects or seeking revenue cost support</w:t>
      </w:r>
      <w:r w:rsidR="00E619A7">
        <w:t xml:space="preserve"> with wider community benefit</w:t>
      </w:r>
      <w:r>
        <w:t xml:space="preserve"> </w:t>
      </w:r>
      <w:r w:rsidR="00803472">
        <w:t>may apply</w:t>
      </w:r>
      <w:r w:rsidR="00E619A7">
        <w:t>, with applications needing to align to</w:t>
      </w:r>
      <w:r w:rsidR="00803472">
        <w:t xml:space="preserve"> </w:t>
      </w:r>
      <w:r w:rsidR="00E619A7">
        <w:t xml:space="preserve">the </w:t>
      </w:r>
      <w:hyperlink r:id="rId14" w:history="1">
        <w:r w:rsidR="00E619A7" w:rsidRPr="007F531E">
          <w:rPr>
            <w:rStyle w:val="Hyperlink"/>
          </w:rPr>
          <w:t>Culture, Heritage and Visitor Economy Strategy</w:t>
        </w:r>
      </w:hyperlink>
      <w:r w:rsidR="00E619A7">
        <w:rPr>
          <w:rStyle w:val="Hyperlink"/>
        </w:rPr>
        <w:t xml:space="preserve">. </w:t>
      </w:r>
    </w:p>
    <w:p w14:paraId="574A1E45" w14:textId="77777777" w:rsidR="004847BA" w:rsidRPr="004847BA" w:rsidRDefault="004847BA"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06D517AE" w14:textId="5034AD1B" w:rsidR="00A31218" w:rsidRPr="00A31218" w:rsidRDefault="00A31218" w:rsidP="00A31218">
      <w:r>
        <w:t xml:space="preserve">There will be one application window per financial year, </w:t>
      </w:r>
      <w:r w:rsidR="00A7431D">
        <w:t>for 2024/25 between 9</w:t>
      </w:r>
      <w:r w:rsidR="00A7431D" w:rsidRPr="00A7431D">
        <w:rPr>
          <w:vertAlign w:val="superscript"/>
        </w:rPr>
        <w:t>th</w:t>
      </w:r>
      <w:r w:rsidR="00A7431D">
        <w:t xml:space="preserve"> December 2024 and 26</w:t>
      </w:r>
      <w:r w:rsidR="00A7431D" w:rsidRPr="00A7431D">
        <w:rPr>
          <w:vertAlign w:val="superscript"/>
        </w:rPr>
        <w:t>th</w:t>
      </w:r>
      <w:r w:rsidR="00A7431D">
        <w:t xml:space="preserve"> January 2025. The next application window will open in December 2025 and close in January 2026.</w:t>
      </w:r>
    </w:p>
    <w:p w14:paraId="4B7171B9" w14:textId="77777777" w:rsidR="00EB6203" w:rsidRDefault="00EB6203" w:rsidP="00F043C8">
      <w:pPr>
        <w:pStyle w:val="Heading3"/>
        <w:numPr>
          <w:ilvl w:val="1"/>
          <w:numId w:val="28"/>
        </w:numPr>
      </w:pPr>
      <w:r>
        <w:t>Pre-Application</w:t>
      </w:r>
    </w:p>
    <w:p w14:paraId="6694840D" w14:textId="05FE80E6" w:rsidR="00082D07" w:rsidRDefault="00EB6203" w:rsidP="00082D07">
      <w:r>
        <w:t>Applicants may wish to have pre-application discussions with the Grants Team. This can be started with a Grant Enquiry Form or an email enquiry to the Grants Inbox. Site visits to prospective projects may also be available.</w:t>
      </w:r>
    </w:p>
    <w:p w14:paraId="7B563994" w14:textId="77777777" w:rsidR="008C734C" w:rsidRPr="00F043C8" w:rsidRDefault="008C734C" w:rsidP="00F043C8">
      <w:pPr>
        <w:pStyle w:val="ListParagraph"/>
        <w:keepNext/>
        <w:keepLines/>
        <w:numPr>
          <w:ilvl w:val="1"/>
          <w:numId w:val="28"/>
        </w:numPr>
        <w:spacing w:before="200" w:after="120"/>
        <w:outlineLvl w:val="2"/>
        <w:rPr>
          <w:rFonts w:eastAsia="MS Gothic"/>
          <w:b/>
          <w:bCs w:val="0"/>
          <w:color w:val="76923C"/>
        </w:rPr>
      </w:pPr>
      <w:r w:rsidRPr="00F043C8">
        <w:rPr>
          <w:rFonts w:eastAsia="MS Gothic"/>
          <w:b/>
          <w:bCs w:val="0"/>
          <w:color w:val="76923C"/>
        </w:rPr>
        <w:t>Application Process</w:t>
      </w:r>
    </w:p>
    <w:p w14:paraId="35EBD69B" w14:textId="3FEE67A1" w:rsidR="008C734C" w:rsidRDefault="008C734C" w:rsidP="008C734C">
      <w:pPr>
        <w:rPr>
          <w:lang w:eastAsia="en-GB"/>
        </w:rPr>
      </w:pPr>
      <w:r w:rsidRPr="00130202">
        <w:rPr>
          <w:lang w:eastAsia="en-GB"/>
        </w:rPr>
        <w:t xml:space="preserve">Completed grant applications to be emailed to: </w:t>
      </w:r>
      <w:hyperlink r:id="rId15" w:history="1">
        <w:r w:rsidRPr="00130202">
          <w:rPr>
            <w:rStyle w:val="Hyperlink"/>
            <w:rFonts w:eastAsia="Arial"/>
            <w:bCs w:val="0"/>
            <w:lang w:eastAsia="en-GB"/>
          </w:rPr>
          <w:t>BMSDCGrants@baberghmidsuffolk.gov.uk</w:t>
        </w:r>
      </w:hyperlink>
      <w:r w:rsidRPr="00130202">
        <w:rPr>
          <w:lang w:eastAsia="en-GB"/>
        </w:rPr>
        <w:t xml:space="preserve"> by no later than</w:t>
      </w:r>
      <w:r>
        <w:rPr>
          <w:lang w:eastAsia="en-GB"/>
        </w:rPr>
        <w:t xml:space="preserve"> the </w:t>
      </w:r>
      <w:proofErr w:type="gramStart"/>
      <w:r>
        <w:rPr>
          <w:lang w:eastAsia="en-GB"/>
        </w:rPr>
        <w:t>26</w:t>
      </w:r>
      <w:r w:rsidRPr="008C734C">
        <w:rPr>
          <w:vertAlign w:val="superscript"/>
          <w:lang w:eastAsia="en-GB"/>
        </w:rPr>
        <w:t>th</w:t>
      </w:r>
      <w:proofErr w:type="gramEnd"/>
      <w:r>
        <w:rPr>
          <w:lang w:eastAsia="en-GB"/>
        </w:rPr>
        <w:t xml:space="preserve"> January</w:t>
      </w:r>
      <w:r w:rsidR="001D6AE8">
        <w:rPr>
          <w:lang w:eastAsia="en-GB"/>
        </w:rPr>
        <w:t xml:space="preserve"> 2025</w:t>
      </w:r>
      <w:r>
        <w:rPr>
          <w:lang w:eastAsia="en-GB"/>
        </w:rPr>
        <w:t xml:space="preserve">. </w:t>
      </w:r>
    </w:p>
    <w:p w14:paraId="3394CB41" w14:textId="77777777" w:rsidR="008C734C" w:rsidRDefault="008C734C" w:rsidP="008C734C">
      <w:pPr>
        <w:rPr>
          <w:lang w:eastAsia="en-GB"/>
        </w:rPr>
      </w:pPr>
    </w:p>
    <w:p w14:paraId="0CB0F290" w14:textId="5339BA5F" w:rsidR="008C734C" w:rsidRDefault="008C734C" w:rsidP="00082D07">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r w:rsidR="00786E8F">
        <w:rPr>
          <w:color w:val="000000"/>
          <w:lang w:eastAsia="en-GB"/>
        </w:rPr>
        <w:t>. Copies of Policies</w:t>
      </w:r>
      <w:r w:rsidR="00AA2F3A">
        <w:rPr>
          <w:color w:val="000000"/>
          <w:lang w:eastAsia="en-GB"/>
        </w:rPr>
        <w:t xml:space="preserve"> (Equal Opportunities, Health &amp; Safety, Child and Adult Safeguarding)</w:t>
      </w:r>
      <w:r w:rsidR="00786E8F">
        <w:rPr>
          <w:color w:val="000000"/>
          <w:lang w:eastAsia="en-GB"/>
        </w:rPr>
        <w:t xml:space="preserve"> should also be linked to, or provided. </w:t>
      </w:r>
    </w:p>
    <w:p w14:paraId="3CF3584F" w14:textId="77777777" w:rsidR="007E736A" w:rsidRPr="00F043C8" w:rsidRDefault="007E736A" w:rsidP="00F043C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4CDA1436"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Community Development Grant Scoring Matrix will not be considered eligible for funding. </w:t>
      </w:r>
    </w:p>
    <w:p w14:paraId="198C39FF"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 xml:space="preserve">In assessing your application priority will be given to applications that demonstrate wide community engagement, community involvement and evidenced benefit.  Any application for </w:t>
      </w:r>
      <w:r w:rsidRPr="000429FB">
        <w:rPr>
          <w:rFonts w:eastAsia="Aptos" w:cs="Times New Roman"/>
          <w:bCs w:val="0"/>
          <w:kern w:val="2"/>
          <w:szCs w:val="22"/>
          <w14:ligatures w14:val="standardContextual"/>
        </w:rPr>
        <w:lastRenderedPageBreak/>
        <w:t>funding to support or extend existing community assets and services must also demonstrate and evidence clear community need and evidence this.</w:t>
      </w:r>
    </w:p>
    <w:p w14:paraId="3399B5D1"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Applicants should be clear that priority will be given to applications with the widest community benefit.</w:t>
      </w:r>
    </w:p>
    <w:p w14:paraId="30122BB7" w14:textId="5AB73C3B" w:rsidR="007E736A" w:rsidRDefault="007E736A" w:rsidP="00F043C8">
      <w:pPr>
        <w:pStyle w:val="Heading3"/>
        <w:numPr>
          <w:ilvl w:val="1"/>
          <w:numId w:val="28"/>
        </w:numPr>
      </w:pPr>
      <w:r>
        <w:t>Offer Letters</w:t>
      </w:r>
    </w:p>
    <w:p w14:paraId="07CAE076" w14:textId="07F35475"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119119FC" w:rsidR="00965320" w:rsidRDefault="003B66EB" w:rsidP="007E736A">
      <w:r>
        <w:t xml:space="preserve">For revenue cost applications, funding will be released on receipt of a signed offer letter. For Capital or pre-project cost applications, funding will 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Pr="00767FEE"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6"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6DB08" w14:textId="77777777" w:rsidR="00264A0F" w:rsidRDefault="00264A0F" w:rsidP="00005828">
      <w:r>
        <w:separator/>
      </w:r>
    </w:p>
  </w:endnote>
  <w:endnote w:type="continuationSeparator" w:id="0">
    <w:p w14:paraId="7F533E64" w14:textId="77777777" w:rsidR="00264A0F" w:rsidRDefault="00264A0F" w:rsidP="00005828">
      <w:r>
        <w:continuationSeparator/>
      </w:r>
    </w:p>
  </w:endnote>
  <w:endnote w:type="continuationNotice" w:id="1">
    <w:p w14:paraId="497C7CAC" w14:textId="77777777" w:rsidR="00264A0F" w:rsidRDefault="00264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837994"/>
      <w:docPartObj>
        <w:docPartGallery w:val="Page Numbers (Bottom of Page)"/>
        <w:docPartUnique/>
      </w:docPartObj>
    </w:sdtPr>
    <w:sdtEndPr>
      <w:rPr>
        <w:b/>
        <w:bCs w:val="0"/>
        <w:noProof/>
      </w:rPr>
    </w:sdtEndPr>
    <w:sdtContent>
      <w:p w14:paraId="7379A2C8" w14:textId="1D3CCDB9" w:rsidR="00000C9C" w:rsidRPr="00000C9C" w:rsidRDefault="00000C9C">
        <w:pPr>
          <w:pStyle w:val="Foo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EA37" w14:textId="77777777" w:rsidR="00264A0F" w:rsidRDefault="00264A0F" w:rsidP="00005828">
      <w:r>
        <w:separator/>
      </w:r>
    </w:p>
  </w:footnote>
  <w:footnote w:type="continuationSeparator" w:id="0">
    <w:p w14:paraId="4F1C54AC" w14:textId="77777777" w:rsidR="00264A0F" w:rsidRDefault="00264A0F" w:rsidP="00005828">
      <w:r>
        <w:continuationSeparator/>
      </w:r>
    </w:p>
  </w:footnote>
  <w:footnote w:type="continuationNotice" w:id="1">
    <w:p w14:paraId="665A1EE0" w14:textId="77777777" w:rsidR="00264A0F" w:rsidRDefault="00264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0994AD7C"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w:t>
                          </w:r>
                          <w:r w:rsidR="00D37B19">
                            <w:rPr>
                              <w:b/>
                              <w:bCs w:val="0"/>
                              <w:sz w:val="36"/>
                              <w:szCs w:val="36"/>
                            </w:rPr>
                            <w:t xml:space="preserve">and </w:t>
                          </w:r>
                          <w:r w:rsidR="00613C38" w:rsidRPr="004D5EE7">
                            <w:rPr>
                              <w:b/>
                              <w:bCs w:val="0"/>
                              <w:sz w:val="36"/>
                              <w:szCs w:val="36"/>
                            </w:rPr>
                            <w:t>Mid Suffolk</w:t>
                          </w:r>
                          <w:r w:rsidRPr="004D5EE7">
                            <w:rPr>
                              <w:b/>
                              <w:bCs w:val="0"/>
                              <w:sz w:val="36"/>
                              <w:szCs w:val="36"/>
                            </w:rPr>
                            <w:t xml:space="preserve"> District Council</w:t>
                          </w:r>
                          <w:r w:rsidR="00613C38" w:rsidRPr="004D5EE7">
                            <w:rPr>
                              <w:b/>
                              <w:bCs w:val="0"/>
                              <w:sz w:val="36"/>
                              <w:szCs w:val="36"/>
                            </w:rPr>
                            <w:t>s</w:t>
                          </w:r>
                        </w:p>
                        <w:p w14:paraId="546DF7B2" w14:textId="64E76674" w:rsidR="00D87F87"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w:t>
                          </w:r>
                          <w:r w:rsidR="00D37B19">
                            <w:rPr>
                              <w:b/>
                              <w:bCs w:val="0"/>
                              <w:sz w:val="28"/>
                              <w:szCs w:val="28"/>
                            </w:rPr>
                            <w:t>Babergh</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0994AD7C"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w:t>
                    </w:r>
                    <w:r w:rsidR="00D37B19">
                      <w:rPr>
                        <w:b/>
                        <w:bCs w:val="0"/>
                        <w:sz w:val="36"/>
                        <w:szCs w:val="36"/>
                      </w:rPr>
                      <w:t xml:space="preserve">and </w:t>
                    </w:r>
                    <w:r w:rsidR="00613C38" w:rsidRPr="004D5EE7">
                      <w:rPr>
                        <w:b/>
                        <w:bCs w:val="0"/>
                        <w:sz w:val="36"/>
                        <w:szCs w:val="36"/>
                      </w:rPr>
                      <w:t>Mid Suffolk</w:t>
                    </w:r>
                    <w:r w:rsidRPr="004D5EE7">
                      <w:rPr>
                        <w:b/>
                        <w:bCs w:val="0"/>
                        <w:sz w:val="36"/>
                        <w:szCs w:val="36"/>
                      </w:rPr>
                      <w:t xml:space="preserve"> District Council</w:t>
                    </w:r>
                    <w:r w:rsidR="00613C38" w:rsidRPr="004D5EE7">
                      <w:rPr>
                        <w:b/>
                        <w:bCs w:val="0"/>
                        <w:sz w:val="36"/>
                        <w:szCs w:val="36"/>
                      </w:rPr>
                      <w:t>s</w:t>
                    </w:r>
                  </w:p>
                  <w:p w14:paraId="546DF7B2" w14:textId="64E76674" w:rsidR="00D87F87"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w:t>
                    </w:r>
                    <w:r w:rsidR="00D37B19">
                      <w:rPr>
                        <w:b/>
                        <w:bCs w:val="0"/>
                        <w:sz w:val="28"/>
                        <w:szCs w:val="28"/>
                      </w:rPr>
                      <w:t>Babergh</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4"/>
  </w:num>
  <w:num w:numId="3" w16cid:durableId="1204170460">
    <w:abstractNumId w:val="28"/>
  </w:num>
  <w:num w:numId="4" w16cid:durableId="251623310">
    <w:abstractNumId w:val="18"/>
  </w:num>
  <w:num w:numId="5" w16cid:durableId="311564283">
    <w:abstractNumId w:val="9"/>
  </w:num>
  <w:num w:numId="6" w16cid:durableId="667758239">
    <w:abstractNumId w:val="20"/>
  </w:num>
  <w:num w:numId="7" w16cid:durableId="1912690195">
    <w:abstractNumId w:val="24"/>
  </w:num>
  <w:num w:numId="8" w16cid:durableId="1829323374">
    <w:abstractNumId w:val="6"/>
  </w:num>
  <w:num w:numId="9" w16cid:durableId="1654529375">
    <w:abstractNumId w:val="0"/>
  </w:num>
  <w:num w:numId="10" w16cid:durableId="1651052250">
    <w:abstractNumId w:val="29"/>
  </w:num>
  <w:num w:numId="11" w16cid:durableId="1769427982">
    <w:abstractNumId w:val="12"/>
  </w:num>
  <w:num w:numId="12" w16cid:durableId="758914049">
    <w:abstractNumId w:val="7"/>
  </w:num>
  <w:num w:numId="13" w16cid:durableId="7028336">
    <w:abstractNumId w:val="13"/>
  </w:num>
  <w:num w:numId="14" w16cid:durableId="561330800">
    <w:abstractNumId w:val="22"/>
  </w:num>
  <w:num w:numId="15" w16cid:durableId="243532961">
    <w:abstractNumId w:val="23"/>
  </w:num>
  <w:num w:numId="16" w16cid:durableId="836651603">
    <w:abstractNumId w:val="5"/>
  </w:num>
  <w:num w:numId="17" w16cid:durableId="305664674">
    <w:abstractNumId w:val="26"/>
  </w:num>
  <w:num w:numId="18" w16cid:durableId="364791396">
    <w:abstractNumId w:val="10"/>
  </w:num>
  <w:num w:numId="19" w16cid:durableId="581372684">
    <w:abstractNumId w:val="25"/>
  </w:num>
  <w:num w:numId="20" w16cid:durableId="796685354">
    <w:abstractNumId w:val="17"/>
  </w:num>
  <w:num w:numId="21" w16cid:durableId="968363558">
    <w:abstractNumId w:val="27"/>
  </w:num>
  <w:num w:numId="22" w16cid:durableId="1738818262">
    <w:abstractNumId w:val="15"/>
  </w:num>
  <w:num w:numId="23" w16cid:durableId="1316029521">
    <w:abstractNumId w:val="16"/>
  </w:num>
  <w:num w:numId="24" w16cid:durableId="1301885971">
    <w:abstractNumId w:val="19"/>
  </w:num>
  <w:num w:numId="25" w16cid:durableId="1314331276">
    <w:abstractNumId w:val="2"/>
  </w:num>
  <w:num w:numId="26" w16cid:durableId="1243639005">
    <w:abstractNumId w:val="3"/>
  </w:num>
  <w:num w:numId="27" w16cid:durableId="422456009">
    <w:abstractNumId w:val="4"/>
  </w:num>
  <w:num w:numId="28" w16cid:durableId="668405838">
    <w:abstractNumId w:val="11"/>
  </w:num>
  <w:num w:numId="29" w16cid:durableId="1199515789">
    <w:abstractNumId w:val="21"/>
  </w:num>
  <w:num w:numId="30" w16cid:durableId="208294507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7EE9"/>
    <w:rsid w:val="000241B7"/>
    <w:rsid w:val="00024455"/>
    <w:rsid w:val="00024857"/>
    <w:rsid w:val="000249C2"/>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1E51"/>
    <w:rsid w:val="000B32D3"/>
    <w:rsid w:val="000B4CDC"/>
    <w:rsid w:val="000B7B55"/>
    <w:rsid w:val="000C538A"/>
    <w:rsid w:val="000C5C29"/>
    <w:rsid w:val="000C7AFA"/>
    <w:rsid w:val="000D443E"/>
    <w:rsid w:val="000D5F22"/>
    <w:rsid w:val="000F1AE5"/>
    <w:rsid w:val="000F2984"/>
    <w:rsid w:val="000F43F4"/>
    <w:rsid w:val="000F52AE"/>
    <w:rsid w:val="00107130"/>
    <w:rsid w:val="00107DA9"/>
    <w:rsid w:val="00111837"/>
    <w:rsid w:val="001154E0"/>
    <w:rsid w:val="00116140"/>
    <w:rsid w:val="00120088"/>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EDD"/>
    <w:rsid w:val="00173EBE"/>
    <w:rsid w:val="0018451A"/>
    <w:rsid w:val="001937DB"/>
    <w:rsid w:val="00195CF1"/>
    <w:rsid w:val="001A0512"/>
    <w:rsid w:val="001A16F2"/>
    <w:rsid w:val="001A204D"/>
    <w:rsid w:val="001A63A9"/>
    <w:rsid w:val="001B002A"/>
    <w:rsid w:val="001B4AA8"/>
    <w:rsid w:val="001D0A9B"/>
    <w:rsid w:val="001D2537"/>
    <w:rsid w:val="001D3812"/>
    <w:rsid w:val="001D48C7"/>
    <w:rsid w:val="001D6AE8"/>
    <w:rsid w:val="001E0D87"/>
    <w:rsid w:val="001E41E6"/>
    <w:rsid w:val="001E7064"/>
    <w:rsid w:val="001F299F"/>
    <w:rsid w:val="001F29CB"/>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3267A"/>
    <w:rsid w:val="00232B5D"/>
    <w:rsid w:val="00233A81"/>
    <w:rsid w:val="00251F7A"/>
    <w:rsid w:val="00252C64"/>
    <w:rsid w:val="00253183"/>
    <w:rsid w:val="00254D65"/>
    <w:rsid w:val="00256F5E"/>
    <w:rsid w:val="002577EF"/>
    <w:rsid w:val="002602D3"/>
    <w:rsid w:val="00260E4E"/>
    <w:rsid w:val="002622B5"/>
    <w:rsid w:val="00264A0F"/>
    <w:rsid w:val="00265033"/>
    <w:rsid w:val="00265491"/>
    <w:rsid w:val="00275B25"/>
    <w:rsid w:val="002772D1"/>
    <w:rsid w:val="00280263"/>
    <w:rsid w:val="002808DF"/>
    <w:rsid w:val="002849C7"/>
    <w:rsid w:val="002859B4"/>
    <w:rsid w:val="00286A4B"/>
    <w:rsid w:val="00293299"/>
    <w:rsid w:val="00295481"/>
    <w:rsid w:val="00296811"/>
    <w:rsid w:val="002A1E01"/>
    <w:rsid w:val="002A2E23"/>
    <w:rsid w:val="002A75A7"/>
    <w:rsid w:val="002B01A1"/>
    <w:rsid w:val="002B1AF5"/>
    <w:rsid w:val="002C6F82"/>
    <w:rsid w:val="002E425E"/>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66E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3224"/>
    <w:rsid w:val="00434E79"/>
    <w:rsid w:val="0043571A"/>
    <w:rsid w:val="00436961"/>
    <w:rsid w:val="00446F8F"/>
    <w:rsid w:val="00456863"/>
    <w:rsid w:val="00457863"/>
    <w:rsid w:val="00465F00"/>
    <w:rsid w:val="00467AC1"/>
    <w:rsid w:val="00471761"/>
    <w:rsid w:val="004778B1"/>
    <w:rsid w:val="0048061B"/>
    <w:rsid w:val="00480907"/>
    <w:rsid w:val="00483D62"/>
    <w:rsid w:val="004847BA"/>
    <w:rsid w:val="004852A9"/>
    <w:rsid w:val="00485438"/>
    <w:rsid w:val="0049176A"/>
    <w:rsid w:val="00496A96"/>
    <w:rsid w:val="004A0A9F"/>
    <w:rsid w:val="004A1C5D"/>
    <w:rsid w:val="004A2E96"/>
    <w:rsid w:val="004A3457"/>
    <w:rsid w:val="004A4456"/>
    <w:rsid w:val="004A5B37"/>
    <w:rsid w:val="004A7109"/>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502FB5"/>
    <w:rsid w:val="00510A23"/>
    <w:rsid w:val="00510A56"/>
    <w:rsid w:val="00514DFE"/>
    <w:rsid w:val="00516AD6"/>
    <w:rsid w:val="005224AD"/>
    <w:rsid w:val="00525552"/>
    <w:rsid w:val="005311C3"/>
    <w:rsid w:val="00532D6D"/>
    <w:rsid w:val="00533245"/>
    <w:rsid w:val="00534388"/>
    <w:rsid w:val="0054240B"/>
    <w:rsid w:val="00542ED9"/>
    <w:rsid w:val="005440AC"/>
    <w:rsid w:val="00545A09"/>
    <w:rsid w:val="00551C22"/>
    <w:rsid w:val="0055259D"/>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70B54"/>
    <w:rsid w:val="006741BD"/>
    <w:rsid w:val="0067608D"/>
    <w:rsid w:val="00680CB2"/>
    <w:rsid w:val="00681BAF"/>
    <w:rsid w:val="0068483C"/>
    <w:rsid w:val="006875AF"/>
    <w:rsid w:val="00694572"/>
    <w:rsid w:val="006978B5"/>
    <w:rsid w:val="006A1995"/>
    <w:rsid w:val="006A1CED"/>
    <w:rsid w:val="006B2D75"/>
    <w:rsid w:val="006B2DEE"/>
    <w:rsid w:val="006C2C45"/>
    <w:rsid w:val="006C4556"/>
    <w:rsid w:val="006D3B41"/>
    <w:rsid w:val="006D7CD8"/>
    <w:rsid w:val="006D7EF6"/>
    <w:rsid w:val="006E6D61"/>
    <w:rsid w:val="006E7D4A"/>
    <w:rsid w:val="006F2462"/>
    <w:rsid w:val="006F4246"/>
    <w:rsid w:val="006F6397"/>
    <w:rsid w:val="006F6534"/>
    <w:rsid w:val="00701D68"/>
    <w:rsid w:val="007031EF"/>
    <w:rsid w:val="00704628"/>
    <w:rsid w:val="0070600B"/>
    <w:rsid w:val="00707155"/>
    <w:rsid w:val="00712E68"/>
    <w:rsid w:val="00714E33"/>
    <w:rsid w:val="0071501A"/>
    <w:rsid w:val="0071697F"/>
    <w:rsid w:val="00716E45"/>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F63"/>
    <w:rsid w:val="00786E8F"/>
    <w:rsid w:val="00787A72"/>
    <w:rsid w:val="00790471"/>
    <w:rsid w:val="00790DD1"/>
    <w:rsid w:val="00795DBB"/>
    <w:rsid w:val="00797896"/>
    <w:rsid w:val="007B2B98"/>
    <w:rsid w:val="007B48AB"/>
    <w:rsid w:val="007C02BB"/>
    <w:rsid w:val="007C34D3"/>
    <w:rsid w:val="007D3424"/>
    <w:rsid w:val="007D361A"/>
    <w:rsid w:val="007D5ED6"/>
    <w:rsid w:val="007D6E1D"/>
    <w:rsid w:val="007E5211"/>
    <w:rsid w:val="007E6EAA"/>
    <w:rsid w:val="007E736A"/>
    <w:rsid w:val="007F531E"/>
    <w:rsid w:val="007F60B0"/>
    <w:rsid w:val="007F67A8"/>
    <w:rsid w:val="00802CD0"/>
    <w:rsid w:val="00803472"/>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6598"/>
    <w:rsid w:val="008969FC"/>
    <w:rsid w:val="008A310A"/>
    <w:rsid w:val="008A32A8"/>
    <w:rsid w:val="008A6044"/>
    <w:rsid w:val="008A7A82"/>
    <w:rsid w:val="008B04D8"/>
    <w:rsid w:val="008B1345"/>
    <w:rsid w:val="008B3808"/>
    <w:rsid w:val="008B50F1"/>
    <w:rsid w:val="008B7E80"/>
    <w:rsid w:val="008C0EC3"/>
    <w:rsid w:val="008C1408"/>
    <w:rsid w:val="008C1E28"/>
    <w:rsid w:val="008C22EE"/>
    <w:rsid w:val="008C3590"/>
    <w:rsid w:val="008C4691"/>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4433"/>
    <w:rsid w:val="00905C64"/>
    <w:rsid w:val="00905EA0"/>
    <w:rsid w:val="009116DA"/>
    <w:rsid w:val="00912B14"/>
    <w:rsid w:val="0091307B"/>
    <w:rsid w:val="0091435E"/>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1FA3"/>
    <w:rsid w:val="0099391D"/>
    <w:rsid w:val="00993E87"/>
    <w:rsid w:val="009950C6"/>
    <w:rsid w:val="009B52D6"/>
    <w:rsid w:val="009B6BF0"/>
    <w:rsid w:val="009C149F"/>
    <w:rsid w:val="009C2112"/>
    <w:rsid w:val="009C2795"/>
    <w:rsid w:val="009C3728"/>
    <w:rsid w:val="009C548C"/>
    <w:rsid w:val="009C5AAA"/>
    <w:rsid w:val="009C6C36"/>
    <w:rsid w:val="009D4899"/>
    <w:rsid w:val="009E0272"/>
    <w:rsid w:val="009E622F"/>
    <w:rsid w:val="009F2305"/>
    <w:rsid w:val="009F5540"/>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1D82"/>
    <w:rsid w:val="00A4477A"/>
    <w:rsid w:val="00A51E48"/>
    <w:rsid w:val="00A52812"/>
    <w:rsid w:val="00A55F8E"/>
    <w:rsid w:val="00A56E92"/>
    <w:rsid w:val="00A57609"/>
    <w:rsid w:val="00A57E3F"/>
    <w:rsid w:val="00A6072B"/>
    <w:rsid w:val="00A60D66"/>
    <w:rsid w:val="00A64956"/>
    <w:rsid w:val="00A64D29"/>
    <w:rsid w:val="00A7431D"/>
    <w:rsid w:val="00A74EE8"/>
    <w:rsid w:val="00A8085F"/>
    <w:rsid w:val="00A81BA1"/>
    <w:rsid w:val="00A82AAC"/>
    <w:rsid w:val="00A85EE5"/>
    <w:rsid w:val="00A91234"/>
    <w:rsid w:val="00A94808"/>
    <w:rsid w:val="00A9571E"/>
    <w:rsid w:val="00A97B14"/>
    <w:rsid w:val="00AA0DB3"/>
    <w:rsid w:val="00AA1F78"/>
    <w:rsid w:val="00AA2038"/>
    <w:rsid w:val="00AA2F3A"/>
    <w:rsid w:val="00AB1CD7"/>
    <w:rsid w:val="00AB261E"/>
    <w:rsid w:val="00AC405C"/>
    <w:rsid w:val="00AC407A"/>
    <w:rsid w:val="00AC5444"/>
    <w:rsid w:val="00AC775C"/>
    <w:rsid w:val="00AD295C"/>
    <w:rsid w:val="00AD4FCA"/>
    <w:rsid w:val="00AD56B8"/>
    <w:rsid w:val="00AD59CF"/>
    <w:rsid w:val="00AE04FB"/>
    <w:rsid w:val="00AE1BC0"/>
    <w:rsid w:val="00AE2C8D"/>
    <w:rsid w:val="00AE4DEF"/>
    <w:rsid w:val="00AF0F00"/>
    <w:rsid w:val="00AF3E99"/>
    <w:rsid w:val="00AF42C0"/>
    <w:rsid w:val="00AF5DB6"/>
    <w:rsid w:val="00B03289"/>
    <w:rsid w:val="00B045D8"/>
    <w:rsid w:val="00B07E73"/>
    <w:rsid w:val="00B16F0B"/>
    <w:rsid w:val="00B20FF4"/>
    <w:rsid w:val="00B222F0"/>
    <w:rsid w:val="00B22D98"/>
    <w:rsid w:val="00B30D12"/>
    <w:rsid w:val="00B31013"/>
    <w:rsid w:val="00B31051"/>
    <w:rsid w:val="00B34499"/>
    <w:rsid w:val="00B36448"/>
    <w:rsid w:val="00B36E45"/>
    <w:rsid w:val="00B46BB3"/>
    <w:rsid w:val="00B5378D"/>
    <w:rsid w:val="00B54FF9"/>
    <w:rsid w:val="00B63570"/>
    <w:rsid w:val="00B639DC"/>
    <w:rsid w:val="00B64058"/>
    <w:rsid w:val="00B65327"/>
    <w:rsid w:val="00B708C0"/>
    <w:rsid w:val="00B7244D"/>
    <w:rsid w:val="00B76A4E"/>
    <w:rsid w:val="00B8090C"/>
    <w:rsid w:val="00B809FF"/>
    <w:rsid w:val="00B822B6"/>
    <w:rsid w:val="00B83165"/>
    <w:rsid w:val="00B83549"/>
    <w:rsid w:val="00B85694"/>
    <w:rsid w:val="00B873AE"/>
    <w:rsid w:val="00B91861"/>
    <w:rsid w:val="00B97767"/>
    <w:rsid w:val="00BA6C82"/>
    <w:rsid w:val="00BA7236"/>
    <w:rsid w:val="00BB1AD4"/>
    <w:rsid w:val="00BB34BB"/>
    <w:rsid w:val="00BB3609"/>
    <w:rsid w:val="00BB5DF4"/>
    <w:rsid w:val="00BC3325"/>
    <w:rsid w:val="00BC3BDE"/>
    <w:rsid w:val="00BC7163"/>
    <w:rsid w:val="00BC75D1"/>
    <w:rsid w:val="00BD10A6"/>
    <w:rsid w:val="00BD4082"/>
    <w:rsid w:val="00BE0541"/>
    <w:rsid w:val="00BE1D21"/>
    <w:rsid w:val="00BE2A2F"/>
    <w:rsid w:val="00BE2E39"/>
    <w:rsid w:val="00BE5BD6"/>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E63"/>
    <w:rsid w:val="00CB3A35"/>
    <w:rsid w:val="00CB6657"/>
    <w:rsid w:val="00CB69EF"/>
    <w:rsid w:val="00CB7D38"/>
    <w:rsid w:val="00CC307C"/>
    <w:rsid w:val="00CD0046"/>
    <w:rsid w:val="00CE0255"/>
    <w:rsid w:val="00CE1CE7"/>
    <w:rsid w:val="00CE3CFE"/>
    <w:rsid w:val="00CE67FD"/>
    <w:rsid w:val="00CF3358"/>
    <w:rsid w:val="00CF3DE9"/>
    <w:rsid w:val="00CF3FF6"/>
    <w:rsid w:val="00D00EB7"/>
    <w:rsid w:val="00D02492"/>
    <w:rsid w:val="00D06C72"/>
    <w:rsid w:val="00D0781D"/>
    <w:rsid w:val="00D11F60"/>
    <w:rsid w:val="00D12C7C"/>
    <w:rsid w:val="00D12D4C"/>
    <w:rsid w:val="00D167BE"/>
    <w:rsid w:val="00D1793A"/>
    <w:rsid w:val="00D21760"/>
    <w:rsid w:val="00D224C0"/>
    <w:rsid w:val="00D306A7"/>
    <w:rsid w:val="00D319CF"/>
    <w:rsid w:val="00D31DA6"/>
    <w:rsid w:val="00D31F3A"/>
    <w:rsid w:val="00D32E35"/>
    <w:rsid w:val="00D350EA"/>
    <w:rsid w:val="00D37B19"/>
    <w:rsid w:val="00D42262"/>
    <w:rsid w:val="00D44884"/>
    <w:rsid w:val="00D459FF"/>
    <w:rsid w:val="00D47AD0"/>
    <w:rsid w:val="00D50A64"/>
    <w:rsid w:val="00D52F67"/>
    <w:rsid w:val="00D556F1"/>
    <w:rsid w:val="00D563BB"/>
    <w:rsid w:val="00D56F9A"/>
    <w:rsid w:val="00D57930"/>
    <w:rsid w:val="00D61BAB"/>
    <w:rsid w:val="00D6298A"/>
    <w:rsid w:val="00D63D73"/>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D2F"/>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579A"/>
    <w:rsid w:val="00E20E23"/>
    <w:rsid w:val="00E2271D"/>
    <w:rsid w:val="00E23FAB"/>
    <w:rsid w:val="00E25D3D"/>
    <w:rsid w:val="00E2640A"/>
    <w:rsid w:val="00E26E2F"/>
    <w:rsid w:val="00E279B0"/>
    <w:rsid w:val="00E301AF"/>
    <w:rsid w:val="00E32AF5"/>
    <w:rsid w:val="00E3405F"/>
    <w:rsid w:val="00E4296C"/>
    <w:rsid w:val="00E47714"/>
    <w:rsid w:val="00E51046"/>
    <w:rsid w:val="00E554B1"/>
    <w:rsid w:val="00E555F3"/>
    <w:rsid w:val="00E57983"/>
    <w:rsid w:val="00E619A7"/>
    <w:rsid w:val="00E62C1A"/>
    <w:rsid w:val="00E62DF4"/>
    <w:rsid w:val="00E65EC3"/>
    <w:rsid w:val="00E7368F"/>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41530"/>
    <w:rsid w:val="00F445C8"/>
    <w:rsid w:val="00F456C4"/>
    <w:rsid w:val="00F47217"/>
    <w:rsid w:val="00F513F6"/>
    <w:rsid w:val="00F5308E"/>
    <w:rsid w:val="00F605A4"/>
    <w:rsid w:val="00F631A6"/>
    <w:rsid w:val="00F74228"/>
    <w:rsid w:val="00F74891"/>
    <w:rsid w:val="00F75B41"/>
    <w:rsid w:val="00F811F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138F"/>
    <w:rsid w:val="00FB7A50"/>
    <w:rsid w:val="00FC0807"/>
    <w:rsid w:val="00FC1801"/>
    <w:rsid w:val="00FC30A3"/>
    <w:rsid w:val="00FC73B1"/>
    <w:rsid w:val="00FC74AF"/>
    <w:rsid w:val="00FD345D"/>
    <w:rsid w:val="00FD7823"/>
    <w:rsid w:val="00FF2445"/>
    <w:rsid w:val="00FF4D25"/>
    <w:rsid w:val="00FF68AB"/>
    <w:rsid w:val="354308B6"/>
    <w:rsid w:val="44731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documents/d/babergh/our-plan-for-babergh"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suffolk.gov.uk/documents/54707/94130/CTC-BAMS-Culture-Heritage-Visitor-Economy-Strategy-v5-22Feb23.pdf/f91604c8-5221-130b-b740-1c1db41e7922?t=16826051754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1B5298A093346A4C536BD63E945CF" ma:contentTypeVersion="13" ma:contentTypeDescription="Create a new document." ma:contentTypeScope="" ma:versionID="6e618b7391d72c919be9d5cf2d58ffb6">
  <xsd:schema xmlns:xsd="http://www.w3.org/2001/XMLSchema" xmlns:xs="http://www.w3.org/2001/XMLSchema" xmlns:p="http://schemas.microsoft.com/office/2006/metadata/properties" xmlns:ns2="e013d294-1e1f-4514-896c-bda1671ad46a" xmlns:ns3="ffd6ab38-5ec5-4e8f-9ee1-1bc297564cb6" targetNamespace="http://schemas.microsoft.com/office/2006/metadata/properties" ma:root="true" ma:fieldsID="52c85d070f0cb651bddaeaa3149a6aad" ns2:_="" ns3:_="">
    <xsd:import namespace="e013d294-1e1f-4514-896c-bda1671ad46a"/>
    <xsd:import namespace="ffd6ab38-5ec5-4e8f-9ee1-1bc297564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294-1e1f-4514-896c-bda1671ad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ab38-5ec5-4e8f-9ee1-1bc297564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961ae-82b2-463d-99b0-09d344a2eda4}" ma:internalName="TaxCatchAll" ma:showField="CatchAllData" ma:web="ffd6ab38-5ec5-4e8f-9ee1-1bc297564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d6ab38-5ec5-4e8f-9ee1-1bc297564cb6" xsi:nil="true"/>
    <lcf76f155ced4ddcb4097134ff3c332f xmlns="e013d294-1e1f-4514-896c-bda1671ad46a">
      <Terms xmlns="http://schemas.microsoft.com/office/infopath/2007/PartnerControls"/>
    </lcf76f155ced4ddcb4097134ff3c332f>
    <SharedWithUsers xmlns="ffd6ab38-5ec5-4e8f-9ee1-1bc297564cb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A36E-E1FE-4E02-A41F-124DCC56C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294-1e1f-4514-896c-bda1671ad46a"/>
    <ds:schemaRef ds:uri="ffd6ab38-5ec5-4e8f-9ee1-1bc29756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11759</CharactersWithSpaces>
  <SharedDoc>false</SharedDoc>
  <HLinks>
    <vt:vector size="36" baseType="variant">
      <vt:variant>
        <vt:i4>7929867</vt:i4>
      </vt:variant>
      <vt:variant>
        <vt:i4>15</vt:i4>
      </vt:variant>
      <vt:variant>
        <vt:i4>0</vt:i4>
      </vt:variant>
      <vt:variant>
        <vt:i4>5</vt:i4>
      </vt:variant>
      <vt:variant>
        <vt:lpwstr>mailto:BMSDCGrants@baberghmidsuffolk.gov.uk</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3932268</vt:i4>
      </vt:variant>
      <vt:variant>
        <vt:i4>9</vt:i4>
      </vt:variant>
      <vt:variant>
        <vt:i4>0</vt:i4>
      </vt:variant>
      <vt:variant>
        <vt:i4>5</vt:i4>
      </vt:variant>
      <vt:variant>
        <vt:lpwstr>https://midsuffolk.gov.uk/documents/54707/94130/CTC-BAMS-Culture-Heritage-Visitor-Economy-Strategy-v5-22Feb23.pdf/f91604c8-5221-130b-b740-1c1db41e7922?t=1682605175437</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7</cp:revision>
  <cp:lastPrinted>2023-05-05T21:53:00Z</cp:lastPrinted>
  <dcterms:created xsi:type="dcterms:W3CDTF">2024-12-06T13:46:00Z</dcterms:created>
  <dcterms:modified xsi:type="dcterms:W3CDTF">2024-12-12T09:30:00Z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0x010100B7E1B5298A093346A4C536BD63E945CF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