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77A" w:rsidRPr="00195CD8" w:rsidRDefault="00C342DB" w:rsidP="009503E8">
      <w:pPr>
        <w:jc w:val="center"/>
        <w:rPr>
          <w:b/>
          <w:sz w:val="36"/>
          <w:szCs w:val="36"/>
        </w:rPr>
      </w:pPr>
      <w:r w:rsidRPr="00195CD8">
        <w:rPr>
          <w:b/>
          <w:sz w:val="36"/>
          <w:szCs w:val="36"/>
        </w:rPr>
        <w:t>Sudbury – key facts:</w:t>
      </w:r>
    </w:p>
    <w:p w:rsidR="00C342DB" w:rsidRPr="002A3614" w:rsidRDefault="00C342DB" w:rsidP="002A3614">
      <w:pPr>
        <w:pStyle w:val="ListParagraph"/>
        <w:numPr>
          <w:ilvl w:val="0"/>
          <w:numId w:val="8"/>
        </w:numPr>
        <w:rPr>
          <w:rFonts w:ascii="Arial" w:hAnsi="Arial" w:cs="Arial"/>
          <w:b/>
          <w:sz w:val="24"/>
          <w:szCs w:val="24"/>
        </w:rPr>
      </w:pPr>
      <w:r w:rsidRPr="002A3614">
        <w:rPr>
          <w:rFonts w:ascii="Arial" w:hAnsi="Arial" w:cs="Arial"/>
          <w:b/>
          <w:sz w:val="24"/>
          <w:szCs w:val="24"/>
        </w:rPr>
        <w:t>The people</w:t>
      </w:r>
      <w:r w:rsidR="009F0766" w:rsidRPr="002A3614">
        <w:rPr>
          <w:rFonts w:ascii="Arial" w:hAnsi="Arial" w:cs="Arial"/>
          <w:b/>
          <w:sz w:val="24"/>
          <w:szCs w:val="24"/>
        </w:rPr>
        <w:t xml:space="preserve"> (Census 2011)</w:t>
      </w:r>
      <w:r w:rsidRPr="002A3614">
        <w:rPr>
          <w:rFonts w:ascii="Arial" w:hAnsi="Arial" w:cs="Arial"/>
          <w:b/>
          <w:sz w:val="24"/>
          <w:szCs w:val="24"/>
        </w:rPr>
        <w:t>:</w:t>
      </w:r>
    </w:p>
    <w:p w:rsidR="00C342DB" w:rsidRPr="001219A3" w:rsidRDefault="00C342DB" w:rsidP="00C342DB">
      <w:pPr>
        <w:pStyle w:val="ListParagraph"/>
        <w:numPr>
          <w:ilvl w:val="0"/>
          <w:numId w:val="1"/>
        </w:numPr>
        <w:rPr>
          <w:rFonts w:ascii="Arial" w:hAnsi="Arial" w:cs="Arial"/>
          <w:sz w:val="24"/>
          <w:szCs w:val="24"/>
        </w:rPr>
      </w:pPr>
      <w:r w:rsidRPr="001219A3">
        <w:rPr>
          <w:rFonts w:ascii="Arial" w:hAnsi="Arial" w:cs="Arial"/>
          <w:sz w:val="24"/>
          <w:szCs w:val="24"/>
        </w:rPr>
        <w:t>Over 13,000 residents</w:t>
      </w:r>
      <w:r w:rsidR="00271963" w:rsidRPr="001219A3">
        <w:rPr>
          <w:rFonts w:ascii="Arial" w:hAnsi="Arial" w:cs="Arial"/>
          <w:sz w:val="24"/>
          <w:szCs w:val="24"/>
        </w:rPr>
        <w:t xml:space="preserve"> in total</w:t>
      </w:r>
    </w:p>
    <w:p w:rsidR="00C342DB" w:rsidRPr="001219A3" w:rsidRDefault="00C342DB" w:rsidP="00C342DB">
      <w:pPr>
        <w:pStyle w:val="ListParagraph"/>
        <w:numPr>
          <w:ilvl w:val="0"/>
          <w:numId w:val="1"/>
        </w:numPr>
        <w:rPr>
          <w:rFonts w:ascii="Arial" w:hAnsi="Arial" w:cs="Arial"/>
          <w:sz w:val="24"/>
          <w:szCs w:val="24"/>
        </w:rPr>
      </w:pPr>
      <w:r w:rsidRPr="001219A3">
        <w:rPr>
          <w:rFonts w:ascii="Arial" w:hAnsi="Arial" w:cs="Arial"/>
          <w:sz w:val="24"/>
          <w:szCs w:val="24"/>
        </w:rPr>
        <w:t xml:space="preserve">Of these 2,894 </w:t>
      </w:r>
      <w:r w:rsidR="00050EFE">
        <w:rPr>
          <w:rFonts w:ascii="Arial" w:hAnsi="Arial" w:cs="Arial"/>
          <w:sz w:val="24"/>
          <w:szCs w:val="24"/>
        </w:rPr>
        <w:t xml:space="preserve">people </w:t>
      </w:r>
      <w:r w:rsidRPr="001219A3">
        <w:rPr>
          <w:rFonts w:ascii="Arial" w:hAnsi="Arial" w:cs="Arial"/>
          <w:sz w:val="24"/>
          <w:szCs w:val="24"/>
        </w:rPr>
        <w:t xml:space="preserve">are </w:t>
      </w:r>
      <w:r w:rsidR="00050EFE">
        <w:rPr>
          <w:rFonts w:ascii="Arial" w:hAnsi="Arial" w:cs="Arial"/>
          <w:sz w:val="24"/>
          <w:szCs w:val="24"/>
        </w:rPr>
        <w:t xml:space="preserve">aged </w:t>
      </w:r>
      <w:r w:rsidRPr="001219A3">
        <w:rPr>
          <w:rFonts w:ascii="Arial" w:hAnsi="Arial" w:cs="Arial"/>
          <w:sz w:val="24"/>
          <w:szCs w:val="24"/>
        </w:rPr>
        <w:t>over 65</w:t>
      </w:r>
      <w:r w:rsidR="00542F77">
        <w:rPr>
          <w:rFonts w:ascii="Arial" w:hAnsi="Arial" w:cs="Arial"/>
          <w:sz w:val="24"/>
          <w:szCs w:val="24"/>
        </w:rPr>
        <w:t xml:space="preserve"> (22.3%)</w:t>
      </w:r>
    </w:p>
    <w:p w:rsidR="009F0766" w:rsidRPr="001219A3" w:rsidRDefault="009F0766" w:rsidP="00C342DB">
      <w:pPr>
        <w:pStyle w:val="ListParagraph"/>
        <w:numPr>
          <w:ilvl w:val="0"/>
          <w:numId w:val="1"/>
        </w:numPr>
        <w:rPr>
          <w:rFonts w:ascii="Arial" w:hAnsi="Arial" w:cs="Arial"/>
          <w:sz w:val="24"/>
          <w:szCs w:val="24"/>
        </w:rPr>
      </w:pPr>
      <w:r w:rsidRPr="001219A3">
        <w:rPr>
          <w:rFonts w:ascii="Arial" w:hAnsi="Arial" w:cs="Arial"/>
          <w:sz w:val="24"/>
          <w:szCs w:val="24"/>
        </w:rPr>
        <w:t xml:space="preserve">5,986 </w:t>
      </w:r>
      <w:r w:rsidR="00195CD8" w:rsidRPr="001219A3">
        <w:rPr>
          <w:rFonts w:ascii="Arial" w:hAnsi="Arial" w:cs="Arial"/>
          <w:sz w:val="24"/>
          <w:szCs w:val="24"/>
        </w:rPr>
        <w:t xml:space="preserve">total </w:t>
      </w:r>
      <w:r w:rsidRPr="001219A3">
        <w:rPr>
          <w:rFonts w:ascii="Arial" w:hAnsi="Arial" w:cs="Arial"/>
          <w:sz w:val="24"/>
          <w:szCs w:val="24"/>
        </w:rPr>
        <w:t>households, of which 4,192 are under occupied (70%)</w:t>
      </w:r>
    </w:p>
    <w:p w:rsidR="00C342DB" w:rsidRDefault="00C342DB" w:rsidP="00C342DB">
      <w:pPr>
        <w:pStyle w:val="ListParagraph"/>
        <w:numPr>
          <w:ilvl w:val="0"/>
          <w:numId w:val="1"/>
        </w:numPr>
        <w:rPr>
          <w:rFonts w:ascii="Arial" w:hAnsi="Arial" w:cs="Arial"/>
          <w:sz w:val="24"/>
          <w:szCs w:val="24"/>
        </w:rPr>
      </w:pPr>
      <w:r w:rsidRPr="001219A3">
        <w:rPr>
          <w:rFonts w:ascii="Arial" w:hAnsi="Arial" w:cs="Arial"/>
          <w:sz w:val="24"/>
          <w:szCs w:val="24"/>
        </w:rPr>
        <w:t>1,103 over 65 year old single households</w:t>
      </w:r>
    </w:p>
    <w:p w:rsidR="00050EFE" w:rsidRDefault="00050EFE" w:rsidP="00C342DB">
      <w:pPr>
        <w:pStyle w:val="ListParagraph"/>
        <w:numPr>
          <w:ilvl w:val="0"/>
          <w:numId w:val="1"/>
        </w:numPr>
        <w:rPr>
          <w:rFonts w:ascii="Arial" w:hAnsi="Arial" w:cs="Arial"/>
          <w:sz w:val="24"/>
          <w:szCs w:val="24"/>
        </w:rPr>
      </w:pPr>
      <w:r>
        <w:rPr>
          <w:rFonts w:ascii="Arial" w:hAnsi="Arial" w:cs="Arial"/>
          <w:sz w:val="24"/>
          <w:szCs w:val="24"/>
        </w:rPr>
        <w:t xml:space="preserve">By 2013 the number of households (in Babergh) aged 40-59 is predicted to fall by 7% </w:t>
      </w:r>
      <w:r w:rsidR="002A3614">
        <w:rPr>
          <w:rFonts w:ascii="Arial" w:hAnsi="Arial" w:cs="Arial"/>
          <w:sz w:val="24"/>
          <w:szCs w:val="24"/>
        </w:rPr>
        <w:t>and households over 80 are predicted to rise by 57% on current numbers.  So many, many more people in the potential frail elderly category and fewer than recent generations for larger family oriented properties.</w:t>
      </w:r>
    </w:p>
    <w:p w:rsidR="002A3614" w:rsidRPr="001219A3" w:rsidRDefault="002A3614" w:rsidP="002A3614">
      <w:pPr>
        <w:pStyle w:val="ListParagraph"/>
        <w:rPr>
          <w:rFonts w:ascii="Arial" w:hAnsi="Arial" w:cs="Arial"/>
          <w:sz w:val="24"/>
          <w:szCs w:val="24"/>
        </w:rPr>
      </w:pPr>
    </w:p>
    <w:p w:rsidR="00F8177A" w:rsidRPr="002A3614" w:rsidRDefault="00C342DB" w:rsidP="002A3614">
      <w:pPr>
        <w:pStyle w:val="ListParagraph"/>
        <w:numPr>
          <w:ilvl w:val="0"/>
          <w:numId w:val="8"/>
        </w:numPr>
        <w:rPr>
          <w:rFonts w:ascii="Arial" w:hAnsi="Arial" w:cs="Arial"/>
          <w:b/>
          <w:sz w:val="24"/>
          <w:szCs w:val="24"/>
        </w:rPr>
      </w:pPr>
      <w:r w:rsidRPr="002A3614">
        <w:rPr>
          <w:rFonts w:ascii="Arial" w:hAnsi="Arial" w:cs="Arial"/>
          <w:b/>
          <w:sz w:val="24"/>
          <w:szCs w:val="24"/>
        </w:rPr>
        <w:t>The housing stock</w:t>
      </w:r>
      <w:r w:rsidR="009F0766" w:rsidRPr="002A3614">
        <w:rPr>
          <w:rFonts w:ascii="Arial" w:hAnsi="Arial" w:cs="Arial"/>
          <w:b/>
          <w:sz w:val="24"/>
          <w:szCs w:val="24"/>
        </w:rPr>
        <w:t xml:space="preserve"> </w:t>
      </w:r>
      <w:r w:rsidR="00EE284A" w:rsidRPr="002A3614">
        <w:rPr>
          <w:rFonts w:ascii="Arial" w:hAnsi="Arial" w:cs="Arial"/>
          <w:b/>
          <w:sz w:val="24"/>
          <w:szCs w:val="24"/>
        </w:rPr>
        <w:t xml:space="preserve">types by bedroom numbers </w:t>
      </w:r>
      <w:r w:rsidR="009F0766" w:rsidRPr="002A3614">
        <w:rPr>
          <w:rFonts w:ascii="Arial" w:hAnsi="Arial" w:cs="Arial"/>
          <w:b/>
          <w:sz w:val="24"/>
          <w:szCs w:val="24"/>
        </w:rPr>
        <w:t>(Census 2011)</w:t>
      </w:r>
      <w:r w:rsidRPr="002A3614">
        <w:rPr>
          <w:rFonts w:ascii="Arial" w:hAnsi="Arial" w:cs="Arial"/>
          <w:b/>
          <w:sz w:val="24"/>
          <w:szCs w:val="24"/>
        </w:rPr>
        <w:t>:</w:t>
      </w:r>
    </w:p>
    <w:p w:rsidR="00C342DB" w:rsidRPr="001219A3" w:rsidRDefault="00195CD8" w:rsidP="009F0766">
      <w:pPr>
        <w:pStyle w:val="ListParagraph"/>
        <w:numPr>
          <w:ilvl w:val="0"/>
          <w:numId w:val="3"/>
        </w:numPr>
        <w:rPr>
          <w:rFonts w:ascii="Arial" w:hAnsi="Arial" w:cs="Arial"/>
          <w:sz w:val="24"/>
          <w:szCs w:val="24"/>
        </w:rPr>
      </w:pPr>
      <w:r w:rsidRPr="001219A3">
        <w:rPr>
          <w:rFonts w:ascii="Arial" w:hAnsi="Arial" w:cs="Arial"/>
          <w:sz w:val="24"/>
          <w:szCs w:val="24"/>
        </w:rPr>
        <w:t>781 – 1 bed properties</w:t>
      </w:r>
    </w:p>
    <w:p w:rsidR="00195CD8" w:rsidRPr="001219A3" w:rsidRDefault="00195CD8" w:rsidP="009F0766">
      <w:pPr>
        <w:pStyle w:val="ListParagraph"/>
        <w:numPr>
          <w:ilvl w:val="0"/>
          <w:numId w:val="3"/>
        </w:numPr>
        <w:rPr>
          <w:rFonts w:ascii="Arial" w:hAnsi="Arial" w:cs="Arial"/>
          <w:sz w:val="24"/>
          <w:szCs w:val="24"/>
        </w:rPr>
      </w:pPr>
      <w:r w:rsidRPr="001219A3">
        <w:rPr>
          <w:rFonts w:ascii="Arial" w:hAnsi="Arial" w:cs="Arial"/>
          <w:sz w:val="24"/>
          <w:szCs w:val="24"/>
        </w:rPr>
        <w:t>1,890 – 2 bed properties</w:t>
      </w:r>
    </w:p>
    <w:p w:rsidR="00195CD8" w:rsidRPr="001219A3" w:rsidRDefault="00195CD8" w:rsidP="009F0766">
      <w:pPr>
        <w:pStyle w:val="ListParagraph"/>
        <w:numPr>
          <w:ilvl w:val="0"/>
          <w:numId w:val="3"/>
        </w:numPr>
        <w:rPr>
          <w:rFonts w:ascii="Arial" w:hAnsi="Arial" w:cs="Arial"/>
          <w:sz w:val="24"/>
          <w:szCs w:val="24"/>
        </w:rPr>
      </w:pPr>
      <w:r w:rsidRPr="001219A3">
        <w:rPr>
          <w:rFonts w:ascii="Arial" w:hAnsi="Arial" w:cs="Arial"/>
          <w:sz w:val="24"/>
          <w:szCs w:val="24"/>
        </w:rPr>
        <w:t>2, 552 – 3 bed properties</w:t>
      </w:r>
    </w:p>
    <w:p w:rsidR="00195CD8" w:rsidRDefault="00195CD8" w:rsidP="009F0766">
      <w:pPr>
        <w:pStyle w:val="ListParagraph"/>
        <w:numPr>
          <w:ilvl w:val="0"/>
          <w:numId w:val="3"/>
        </w:numPr>
        <w:rPr>
          <w:rFonts w:ascii="Arial" w:hAnsi="Arial" w:cs="Arial"/>
          <w:sz w:val="24"/>
          <w:szCs w:val="24"/>
        </w:rPr>
      </w:pPr>
      <w:r w:rsidRPr="001219A3">
        <w:rPr>
          <w:rFonts w:ascii="Arial" w:hAnsi="Arial" w:cs="Arial"/>
          <w:sz w:val="24"/>
          <w:szCs w:val="24"/>
        </w:rPr>
        <w:t>749 – 4+ bed properties</w:t>
      </w:r>
    </w:p>
    <w:p w:rsidR="002A3614" w:rsidRPr="002A3614" w:rsidRDefault="002A3614" w:rsidP="002A3614">
      <w:pPr>
        <w:rPr>
          <w:rFonts w:ascii="Arial" w:hAnsi="Arial" w:cs="Arial"/>
          <w:b/>
          <w:sz w:val="24"/>
          <w:szCs w:val="24"/>
        </w:rPr>
      </w:pPr>
      <w:r w:rsidRPr="001219A3">
        <w:rPr>
          <w:rFonts w:ascii="Arial" w:hAnsi="Arial" w:cs="Arial"/>
          <w:sz w:val="24"/>
          <w:szCs w:val="24"/>
        </w:rPr>
        <w:t xml:space="preserve">There appears to be a lack </w:t>
      </w:r>
      <w:r>
        <w:rPr>
          <w:rFonts w:ascii="Arial" w:hAnsi="Arial" w:cs="Arial"/>
          <w:sz w:val="24"/>
          <w:szCs w:val="24"/>
        </w:rPr>
        <w:t xml:space="preserve">/ under supply </w:t>
      </w:r>
      <w:r w:rsidRPr="001219A3">
        <w:rPr>
          <w:rFonts w:ascii="Arial" w:hAnsi="Arial" w:cs="Arial"/>
          <w:sz w:val="24"/>
          <w:szCs w:val="24"/>
        </w:rPr>
        <w:t>of open market (long leasehold) age exclusive, over 55/ retirement apartments (using EAC website and Zoopla</w:t>
      </w:r>
      <w:r>
        <w:rPr>
          <w:rFonts w:ascii="Arial" w:hAnsi="Arial" w:cs="Arial"/>
          <w:sz w:val="24"/>
          <w:szCs w:val="24"/>
        </w:rPr>
        <w:t xml:space="preserve"> evidence</w:t>
      </w:r>
      <w:r w:rsidRPr="001219A3">
        <w:rPr>
          <w:rFonts w:ascii="Arial" w:hAnsi="Arial" w:cs="Arial"/>
          <w:sz w:val="24"/>
          <w:szCs w:val="24"/>
        </w:rPr>
        <w:t xml:space="preserve">) within the current housing stock of 1013 flats /apartments.  </w:t>
      </w:r>
    </w:p>
    <w:p w:rsidR="002A3614" w:rsidRPr="001219A3" w:rsidRDefault="002A3614" w:rsidP="002A3614">
      <w:pPr>
        <w:rPr>
          <w:rFonts w:ascii="Arial" w:hAnsi="Arial" w:cs="Arial"/>
          <w:sz w:val="24"/>
          <w:szCs w:val="24"/>
        </w:rPr>
      </w:pPr>
      <w:r w:rsidRPr="001219A3">
        <w:rPr>
          <w:rFonts w:ascii="Arial" w:hAnsi="Arial" w:cs="Arial"/>
          <w:sz w:val="24"/>
          <w:szCs w:val="24"/>
        </w:rPr>
        <w:t>Percentage distribution of</w:t>
      </w:r>
      <w:r>
        <w:rPr>
          <w:rFonts w:ascii="Arial" w:hAnsi="Arial" w:cs="Arial"/>
          <w:sz w:val="24"/>
          <w:szCs w:val="24"/>
        </w:rPr>
        <w:t xml:space="preserve"> all</w:t>
      </w:r>
      <w:r w:rsidRPr="001219A3">
        <w:rPr>
          <w:rFonts w:ascii="Arial" w:hAnsi="Arial" w:cs="Arial"/>
          <w:sz w:val="24"/>
          <w:szCs w:val="24"/>
        </w:rPr>
        <w:t xml:space="preserve"> flats / apartments by Ward is:</w:t>
      </w:r>
    </w:p>
    <w:p w:rsidR="002A3614" w:rsidRPr="001219A3" w:rsidRDefault="002A3614" w:rsidP="002A3614">
      <w:pPr>
        <w:pStyle w:val="ListParagraph"/>
        <w:numPr>
          <w:ilvl w:val="0"/>
          <w:numId w:val="7"/>
        </w:numPr>
        <w:rPr>
          <w:rFonts w:ascii="Arial" w:hAnsi="Arial" w:cs="Arial"/>
          <w:sz w:val="24"/>
          <w:szCs w:val="24"/>
        </w:rPr>
      </w:pPr>
      <w:r w:rsidRPr="001219A3">
        <w:rPr>
          <w:rFonts w:ascii="Arial" w:hAnsi="Arial" w:cs="Arial"/>
          <w:sz w:val="24"/>
          <w:szCs w:val="24"/>
        </w:rPr>
        <w:t>Sudbury South – 64%, total number 650- Belle Vue is located here</w:t>
      </w:r>
    </w:p>
    <w:p w:rsidR="002A3614" w:rsidRPr="001219A3" w:rsidRDefault="002A3614" w:rsidP="002A3614">
      <w:pPr>
        <w:pStyle w:val="ListParagraph"/>
        <w:numPr>
          <w:ilvl w:val="0"/>
          <w:numId w:val="7"/>
        </w:numPr>
        <w:rPr>
          <w:rFonts w:ascii="Arial" w:hAnsi="Arial" w:cs="Arial"/>
          <w:sz w:val="24"/>
          <w:szCs w:val="24"/>
        </w:rPr>
      </w:pPr>
      <w:r w:rsidRPr="001219A3">
        <w:rPr>
          <w:rFonts w:ascii="Arial" w:hAnsi="Arial" w:cs="Arial"/>
          <w:sz w:val="24"/>
          <w:szCs w:val="24"/>
        </w:rPr>
        <w:t>Sudbury East – 23%</w:t>
      </w:r>
    </w:p>
    <w:p w:rsidR="002A3614" w:rsidRDefault="002A3614" w:rsidP="002A3614">
      <w:pPr>
        <w:pStyle w:val="ListParagraph"/>
        <w:numPr>
          <w:ilvl w:val="0"/>
          <w:numId w:val="7"/>
        </w:numPr>
        <w:rPr>
          <w:rFonts w:ascii="Arial" w:hAnsi="Arial" w:cs="Arial"/>
          <w:sz w:val="24"/>
          <w:szCs w:val="24"/>
        </w:rPr>
      </w:pPr>
      <w:r w:rsidRPr="001219A3">
        <w:rPr>
          <w:rFonts w:ascii="Arial" w:hAnsi="Arial" w:cs="Arial"/>
          <w:sz w:val="24"/>
          <w:szCs w:val="24"/>
        </w:rPr>
        <w:t xml:space="preserve">Sudbury North – 13%. </w:t>
      </w:r>
    </w:p>
    <w:p w:rsidR="002A3614" w:rsidRPr="001219A3" w:rsidRDefault="002A3614" w:rsidP="002A3614">
      <w:pPr>
        <w:pStyle w:val="ListParagraph"/>
        <w:rPr>
          <w:rFonts w:ascii="Arial" w:hAnsi="Arial" w:cs="Arial"/>
          <w:sz w:val="24"/>
          <w:szCs w:val="24"/>
        </w:rPr>
      </w:pPr>
    </w:p>
    <w:p w:rsidR="00195CD8" w:rsidRPr="002A3614" w:rsidRDefault="00EE284A" w:rsidP="002A3614">
      <w:pPr>
        <w:pStyle w:val="ListParagraph"/>
        <w:numPr>
          <w:ilvl w:val="0"/>
          <w:numId w:val="8"/>
        </w:numPr>
        <w:rPr>
          <w:rFonts w:ascii="Arial" w:hAnsi="Arial" w:cs="Arial"/>
          <w:b/>
          <w:sz w:val="24"/>
          <w:szCs w:val="24"/>
        </w:rPr>
      </w:pPr>
      <w:r w:rsidRPr="002A3614">
        <w:rPr>
          <w:rFonts w:ascii="Arial" w:hAnsi="Arial" w:cs="Arial"/>
          <w:b/>
          <w:sz w:val="24"/>
          <w:szCs w:val="24"/>
        </w:rPr>
        <w:t>Tenures of the housing stock (Census 2011):</w:t>
      </w:r>
      <w:r w:rsidR="00195CD8" w:rsidRPr="002A3614">
        <w:rPr>
          <w:rFonts w:ascii="Arial" w:hAnsi="Arial" w:cs="Arial"/>
          <w:b/>
          <w:sz w:val="24"/>
          <w:szCs w:val="24"/>
        </w:rPr>
        <w:t xml:space="preserve"> </w:t>
      </w:r>
    </w:p>
    <w:p w:rsidR="00195CD8" w:rsidRPr="001219A3" w:rsidRDefault="00195CD8" w:rsidP="00195CD8">
      <w:pPr>
        <w:pStyle w:val="ListParagraph"/>
        <w:numPr>
          <w:ilvl w:val="0"/>
          <w:numId w:val="4"/>
        </w:numPr>
        <w:rPr>
          <w:rFonts w:ascii="Arial" w:hAnsi="Arial" w:cs="Arial"/>
          <w:sz w:val="24"/>
          <w:szCs w:val="24"/>
        </w:rPr>
      </w:pPr>
      <w:r w:rsidRPr="001219A3">
        <w:rPr>
          <w:rFonts w:ascii="Arial" w:hAnsi="Arial" w:cs="Arial"/>
          <w:sz w:val="24"/>
          <w:szCs w:val="24"/>
        </w:rPr>
        <w:t>62% of owner occupation</w:t>
      </w:r>
    </w:p>
    <w:p w:rsidR="00195CD8" w:rsidRPr="001219A3" w:rsidRDefault="00195CD8" w:rsidP="00195CD8">
      <w:pPr>
        <w:pStyle w:val="ListParagraph"/>
        <w:numPr>
          <w:ilvl w:val="0"/>
          <w:numId w:val="4"/>
        </w:numPr>
        <w:rPr>
          <w:rFonts w:ascii="Arial" w:hAnsi="Arial" w:cs="Arial"/>
          <w:sz w:val="24"/>
          <w:szCs w:val="24"/>
        </w:rPr>
      </w:pPr>
      <w:r w:rsidRPr="001219A3">
        <w:rPr>
          <w:rFonts w:ascii="Arial" w:hAnsi="Arial" w:cs="Arial"/>
          <w:sz w:val="24"/>
          <w:szCs w:val="24"/>
        </w:rPr>
        <w:t>19% socially rented</w:t>
      </w:r>
    </w:p>
    <w:p w:rsidR="00195CD8" w:rsidRPr="001219A3" w:rsidRDefault="00195CD8" w:rsidP="00195CD8">
      <w:pPr>
        <w:pStyle w:val="ListParagraph"/>
        <w:numPr>
          <w:ilvl w:val="0"/>
          <w:numId w:val="4"/>
        </w:numPr>
        <w:rPr>
          <w:rFonts w:ascii="Arial" w:hAnsi="Arial" w:cs="Arial"/>
          <w:sz w:val="24"/>
          <w:szCs w:val="24"/>
        </w:rPr>
      </w:pPr>
      <w:r w:rsidRPr="001219A3">
        <w:rPr>
          <w:rFonts w:ascii="Arial" w:hAnsi="Arial" w:cs="Arial"/>
          <w:sz w:val="24"/>
          <w:szCs w:val="24"/>
        </w:rPr>
        <w:t>17% privately rented</w:t>
      </w:r>
    </w:p>
    <w:p w:rsidR="00195CD8" w:rsidRPr="001219A3" w:rsidRDefault="00195CD8" w:rsidP="00195CD8">
      <w:pPr>
        <w:pStyle w:val="ListParagraph"/>
        <w:numPr>
          <w:ilvl w:val="0"/>
          <w:numId w:val="4"/>
        </w:numPr>
        <w:rPr>
          <w:rFonts w:ascii="Arial" w:hAnsi="Arial" w:cs="Arial"/>
          <w:sz w:val="24"/>
          <w:szCs w:val="24"/>
        </w:rPr>
      </w:pPr>
      <w:r w:rsidRPr="001219A3">
        <w:rPr>
          <w:rFonts w:ascii="Arial" w:hAnsi="Arial" w:cs="Arial"/>
          <w:sz w:val="24"/>
          <w:szCs w:val="24"/>
        </w:rPr>
        <w:t xml:space="preserve">1% shared ownership </w:t>
      </w:r>
    </w:p>
    <w:p w:rsidR="00C342DB" w:rsidRPr="001219A3" w:rsidRDefault="00EE284A">
      <w:pPr>
        <w:rPr>
          <w:rFonts w:ascii="Arial" w:hAnsi="Arial" w:cs="Arial"/>
          <w:sz w:val="24"/>
          <w:szCs w:val="24"/>
        </w:rPr>
      </w:pPr>
      <w:r w:rsidRPr="001219A3">
        <w:rPr>
          <w:rFonts w:ascii="Arial" w:hAnsi="Arial" w:cs="Arial"/>
          <w:sz w:val="24"/>
          <w:szCs w:val="24"/>
        </w:rPr>
        <w:t xml:space="preserve">Making a supposition that </w:t>
      </w:r>
      <w:r w:rsidR="00050EFE">
        <w:rPr>
          <w:rFonts w:ascii="Arial" w:hAnsi="Arial" w:cs="Arial"/>
          <w:sz w:val="24"/>
          <w:szCs w:val="24"/>
        </w:rPr>
        <w:t xml:space="preserve">older </w:t>
      </w:r>
      <w:r w:rsidRPr="001219A3">
        <w:rPr>
          <w:rFonts w:ascii="Arial" w:hAnsi="Arial" w:cs="Arial"/>
          <w:sz w:val="24"/>
          <w:szCs w:val="24"/>
        </w:rPr>
        <w:t>households currently under</w:t>
      </w:r>
      <w:r w:rsidR="00DD301A" w:rsidRPr="001219A3">
        <w:rPr>
          <w:rFonts w:ascii="Arial" w:hAnsi="Arial" w:cs="Arial"/>
          <w:sz w:val="24"/>
          <w:szCs w:val="24"/>
        </w:rPr>
        <w:t>-</w:t>
      </w:r>
      <w:r w:rsidRPr="001219A3">
        <w:rPr>
          <w:rFonts w:ascii="Arial" w:hAnsi="Arial" w:cs="Arial"/>
          <w:sz w:val="24"/>
          <w:szCs w:val="24"/>
        </w:rPr>
        <w:t>occupying properties by 2 or more bedrooms wish to find alternative, town</w:t>
      </w:r>
      <w:r w:rsidR="00050EFE">
        <w:rPr>
          <w:rFonts w:ascii="Arial" w:hAnsi="Arial" w:cs="Arial"/>
          <w:sz w:val="24"/>
          <w:szCs w:val="24"/>
        </w:rPr>
        <w:t>-</w:t>
      </w:r>
      <w:r w:rsidRPr="001219A3">
        <w:rPr>
          <w:rFonts w:ascii="Arial" w:hAnsi="Arial" w:cs="Arial"/>
          <w:sz w:val="24"/>
          <w:szCs w:val="24"/>
        </w:rPr>
        <w:t>centre, easier to maintain home</w:t>
      </w:r>
      <w:r w:rsidR="00050EFE">
        <w:rPr>
          <w:rFonts w:ascii="Arial" w:hAnsi="Arial" w:cs="Arial"/>
          <w:sz w:val="24"/>
          <w:szCs w:val="24"/>
        </w:rPr>
        <w:t>s</w:t>
      </w:r>
      <w:r w:rsidRPr="001219A3">
        <w:rPr>
          <w:rFonts w:ascii="Arial" w:hAnsi="Arial" w:cs="Arial"/>
          <w:sz w:val="24"/>
          <w:szCs w:val="24"/>
        </w:rPr>
        <w:t xml:space="preserve">, these </w:t>
      </w:r>
      <w:r w:rsidR="00050EFE">
        <w:rPr>
          <w:rFonts w:ascii="Arial" w:hAnsi="Arial" w:cs="Arial"/>
          <w:sz w:val="24"/>
          <w:szCs w:val="24"/>
        </w:rPr>
        <w:t xml:space="preserve">would </w:t>
      </w:r>
      <w:r w:rsidRPr="001219A3">
        <w:rPr>
          <w:rFonts w:ascii="Arial" w:hAnsi="Arial" w:cs="Arial"/>
          <w:sz w:val="24"/>
          <w:szCs w:val="24"/>
        </w:rPr>
        <w:t>appear to be i</w:t>
      </w:r>
      <w:r w:rsidR="00271963" w:rsidRPr="001219A3">
        <w:rPr>
          <w:rFonts w:ascii="Arial" w:hAnsi="Arial" w:cs="Arial"/>
          <w:sz w:val="24"/>
          <w:szCs w:val="24"/>
        </w:rPr>
        <w:t xml:space="preserve">n short supply if </w:t>
      </w:r>
      <w:r w:rsidRPr="001219A3">
        <w:rPr>
          <w:rFonts w:ascii="Arial" w:hAnsi="Arial" w:cs="Arial"/>
          <w:sz w:val="24"/>
          <w:szCs w:val="24"/>
        </w:rPr>
        <w:t>supply</w:t>
      </w:r>
      <w:r w:rsidR="00271963" w:rsidRPr="001219A3">
        <w:rPr>
          <w:rFonts w:ascii="Arial" w:hAnsi="Arial" w:cs="Arial"/>
          <w:sz w:val="24"/>
          <w:szCs w:val="24"/>
        </w:rPr>
        <w:t xml:space="preserve"> is matched</w:t>
      </w:r>
      <w:r w:rsidRPr="001219A3">
        <w:rPr>
          <w:rFonts w:ascii="Arial" w:hAnsi="Arial" w:cs="Arial"/>
          <w:sz w:val="24"/>
          <w:szCs w:val="24"/>
        </w:rPr>
        <w:t xml:space="preserve"> to potential demand, using the figures above.</w:t>
      </w:r>
      <w:r w:rsidR="00DD301A" w:rsidRPr="001219A3">
        <w:rPr>
          <w:rFonts w:ascii="Arial" w:hAnsi="Arial" w:cs="Arial"/>
          <w:sz w:val="24"/>
          <w:szCs w:val="24"/>
        </w:rPr>
        <w:t xml:space="preserve">  </w:t>
      </w:r>
    </w:p>
    <w:p w:rsidR="00DD301A" w:rsidRPr="002A3614" w:rsidRDefault="00DD301A" w:rsidP="002A3614">
      <w:pPr>
        <w:pStyle w:val="ListParagraph"/>
        <w:numPr>
          <w:ilvl w:val="0"/>
          <w:numId w:val="8"/>
        </w:numPr>
        <w:rPr>
          <w:rFonts w:ascii="Arial" w:hAnsi="Arial" w:cs="Arial"/>
          <w:sz w:val="24"/>
          <w:szCs w:val="24"/>
        </w:rPr>
      </w:pPr>
      <w:r w:rsidRPr="002A3614">
        <w:rPr>
          <w:rFonts w:ascii="Arial" w:hAnsi="Arial" w:cs="Arial"/>
          <w:b/>
          <w:sz w:val="24"/>
          <w:szCs w:val="24"/>
        </w:rPr>
        <w:t xml:space="preserve">Affordability:  </w:t>
      </w:r>
      <w:r w:rsidRPr="002A3614">
        <w:rPr>
          <w:rFonts w:ascii="Arial" w:hAnsi="Arial" w:cs="Arial"/>
          <w:sz w:val="24"/>
          <w:szCs w:val="24"/>
        </w:rPr>
        <w:t xml:space="preserve">the 2014 Suffolk Housing Survey and the Census 2011 confirms that many </w:t>
      </w:r>
      <w:r w:rsidR="00050EFE" w:rsidRPr="002A3614">
        <w:rPr>
          <w:rFonts w:ascii="Arial" w:hAnsi="Arial" w:cs="Arial"/>
          <w:sz w:val="24"/>
          <w:szCs w:val="24"/>
        </w:rPr>
        <w:t xml:space="preserve">current </w:t>
      </w:r>
      <w:r w:rsidRPr="002A3614">
        <w:rPr>
          <w:rFonts w:ascii="Arial" w:hAnsi="Arial" w:cs="Arial"/>
          <w:sz w:val="24"/>
          <w:szCs w:val="24"/>
        </w:rPr>
        <w:t>local owner occupiers are mortgage free, have over £25,000 savings and considerable (more than £250,000</w:t>
      </w:r>
      <w:r w:rsidR="00050EFE" w:rsidRPr="002A3614">
        <w:rPr>
          <w:rFonts w:ascii="Arial" w:hAnsi="Arial" w:cs="Arial"/>
          <w:sz w:val="24"/>
          <w:szCs w:val="24"/>
        </w:rPr>
        <w:t>)</w:t>
      </w:r>
      <w:r w:rsidRPr="002A3614">
        <w:rPr>
          <w:rFonts w:ascii="Arial" w:hAnsi="Arial" w:cs="Arial"/>
          <w:sz w:val="24"/>
          <w:szCs w:val="24"/>
        </w:rPr>
        <w:t xml:space="preserve"> home equity ensuring </w:t>
      </w:r>
      <w:r w:rsidR="00050EFE" w:rsidRPr="002A3614">
        <w:rPr>
          <w:rFonts w:ascii="Arial" w:hAnsi="Arial" w:cs="Arial"/>
          <w:sz w:val="24"/>
          <w:szCs w:val="24"/>
        </w:rPr>
        <w:t>so</w:t>
      </w:r>
      <w:r w:rsidRPr="002A3614">
        <w:rPr>
          <w:rFonts w:ascii="Arial" w:hAnsi="Arial" w:cs="Arial"/>
          <w:sz w:val="24"/>
          <w:szCs w:val="24"/>
        </w:rPr>
        <w:t xml:space="preserve"> have adequate financial capacity to consider the high spec. product offered by Churchill’s.</w:t>
      </w:r>
      <w:r w:rsidR="00050EFE" w:rsidRPr="002A3614">
        <w:rPr>
          <w:rFonts w:ascii="Arial" w:hAnsi="Arial" w:cs="Arial"/>
          <w:sz w:val="24"/>
          <w:szCs w:val="24"/>
        </w:rPr>
        <w:t xml:space="preserve">  </w:t>
      </w:r>
    </w:p>
    <w:p w:rsidR="00C342DB" w:rsidRPr="002A3614" w:rsidRDefault="009F0766" w:rsidP="002A3614">
      <w:pPr>
        <w:pStyle w:val="ListParagraph"/>
        <w:numPr>
          <w:ilvl w:val="0"/>
          <w:numId w:val="8"/>
        </w:numPr>
        <w:rPr>
          <w:rFonts w:ascii="Arial" w:hAnsi="Arial" w:cs="Arial"/>
          <w:b/>
          <w:sz w:val="24"/>
          <w:szCs w:val="24"/>
        </w:rPr>
      </w:pPr>
      <w:r w:rsidRPr="002A3614">
        <w:rPr>
          <w:rFonts w:ascii="Arial" w:hAnsi="Arial" w:cs="Arial"/>
          <w:b/>
          <w:sz w:val="24"/>
          <w:szCs w:val="24"/>
        </w:rPr>
        <w:lastRenderedPageBreak/>
        <w:t>Recent housing completions / in the pipeline:</w:t>
      </w:r>
    </w:p>
    <w:p w:rsidR="00557FDB" w:rsidRPr="00557FDB" w:rsidRDefault="009303B0" w:rsidP="00557FDB">
      <w:pPr>
        <w:rPr>
          <w:rFonts w:ascii="Arial" w:hAnsi="Arial" w:cs="Arial"/>
          <w:sz w:val="24"/>
          <w:szCs w:val="24"/>
        </w:rPr>
      </w:pPr>
      <w:hyperlink r:id="rId9" w:history="1">
        <w:r w:rsidR="009F0766" w:rsidRPr="001219A3">
          <w:rPr>
            <w:rStyle w:val="Hyperlink"/>
            <w:rFonts w:ascii="Arial" w:hAnsi="Arial" w:cs="Arial"/>
            <w:sz w:val="24"/>
            <w:szCs w:val="24"/>
          </w:rPr>
          <w:t>http://www.bellway.co.uk/new-homes/essex/harp-meadow</w:t>
        </w:r>
      </w:hyperlink>
      <w:r w:rsidR="00DD301A" w:rsidRPr="001219A3">
        <w:rPr>
          <w:rFonts w:ascii="Arial" w:hAnsi="Arial" w:cs="Arial"/>
          <w:sz w:val="24"/>
          <w:szCs w:val="24"/>
        </w:rPr>
        <w:t xml:space="preserve">    Comprises 2 – 4 bedroom homes, ranging from £199,995 to £339,995 freehold, with some social affor</w:t>
      </w:r>
      <w:r w:rsidR="00542F77">
        <w:rPr>
          <w:rFonts w:ascii="Arial" w:hAnsi="Arial" w:cs="Arial"/>
          <w:sz w:val="24"/>
          <w:szCs w:val="24"/>
        </w:rPr>
        <w:t>dable rented properties on site (35%)</w:t>
      </w:r>
      <w:r w:rsidR="00557FDB">
        <w:rPr>
          <w:rFonts w:ascii="Arial" w:hAnsi="Arial" w:cs="Arial"/>
          <w:sz w:val="24"/>
          <w:szCs w:val="24"/>
        </w:rPr>
        <w:t xml:space="preserve">                                                                       </w:t>
      </w:r>
      <w:r w:rsidR="00557FDB" w:rsidRPr="00557FDB">
        <w:rPr>
          <w:rFonts w:ascii="Arial" w:hAnsi="Arial" w:cs="Arial"/>
          <w:sz w:val="24"/>
          <w:szCs w:val="24"/>
        </w:rPr>
        <w:t xml:space="preserve">Net Residential Completions recorded in the </w:t>
      </w:r>
      <w:r w:rsidR="00557FDB" w:rsidRPr="00557FDB">
        <w:rPr>
          <w:rFonts w:ascii="Arial" w:hAnsi="Arial" w:cs="Arial"/>
          <w:sz w:val="24"/>
          <w:szCs w:val="24"/>
          <w:u w:val="single"/>
        </w:rPr>
        <w:t>parish</w:t>
      </w:r>
      <w:r w:rsidR="00557FDB" w:rsidRPr="00557FDB">
        <w:rPr>
          <w:rFonts w:ascii="Arial" w:hAnsi="Arial" w:cs="Arial"/>
          <w:sz w:val="24"/>
          <w:szCs w:val="24"/>
        </w:rPr>
        <w:t xml:space="preserve"> of Sudbury (1</w:t>
      </w:r>
      <w:r w:rsidR="00557FDB" w:rsidRPr="00557FDB">
        <w:rPr>
          <w:rFonts w:ascii="Arial" w:hAnsi="Arial" w:cs="Arial"/>
          <w:sz w:val="24"/>
          <w:szCs w:val="24"/>
          <w:vertAlign w:val="superscript"/>
        </w:rPr>
        <w:t>st</w:t>
      </w:r>
      <w:r w:rsidR="00557FDB" w:rsidRPr="00557FDB">
        <w:rPr>
          <w:rFonts w:ascii="Arial" w:hAnsi="Arial" w:cs="Arial"/>
          <w:sz w:val="24"/>
          <w:szCs w:val="24"/>
        </w:rPr>
        <w:t xml:space="preserve"> April 2010 to 31</w:t>
      </w:r>
      <w:r w:rsidR="00557FDB" w:rsidRPr="00557FDB">
        <w:rPr>
          <w:rFonts w:ascii="Arial" w:hAnsi="Arial" w:cs="Arial"/>
          <w:sz w:val="24"/>
          <w:szCs w:val="24"/>
          <w:vertAlign w:val="superscript"/>
        </w:rPr>
        <w:t>st</w:t>
      </w:r>
      <w:r w:rsidR="00557FDB" w:rsidRPr="00557FDB">
        <w:rPr>
          <w:rFonts w:ascii="Arial" w:hAnsi="Arial" w:cs="Arial"/>
          <w:sz w:val="24"/>
          <w:szCs w:val="24"/>
        </w:rPr>
        <w:t xml:space="preserve"> March 2015)</w:t>
      </w:r>
      <w:r w:rsidR="00557FDB">
        <w:rPr>
          <w:rFonts w:ascii="Arial" w:hAnsi="Arial" w:cs="Arial"/>
          <w:sz w:val="24"/>
          <w:szCs w:val="24"/>
        </w:rPr>
        <w:t xml:space="preserve">.  </w:t>
      </w:r>
      <w:r w:rsidR="00557FDB" w:rsidRPr="00557FDB">
        <w:rPr>
          <w:rFonts w:ascii="Arial" w:hAnsi="Arial" w:cs="Arial"/>
          <w:sz w:val="24"/>
          <w:szCs w:val="24"/>
        </w:rPr>
        <w:t>Total = 59</w:t>
      </w:r>
    </w:p>
    <w:tbl>
      <w:tblPr>
        <w:tblW w:w="0" w:type="auto"/>
        <w:tblCellMar>
          <w:left w:w="0" w:type="dxa"/>
          <w:right w:w="0" w:type="dxa"/>
        </w:tblCellMar>
        <w:tblLook w:val="04A0" w:firstRow="1" w:lastRow="0" w:firstColumn="1" w:lastColumn="0" w:noHBand="0" w:noVBand="1"/>
      </w:tblPr>
      <w:tblGrid>
        <w:gridCol w:w="1554"/>
        <w:gridCol w:w="1293"/>
        <w:gridCol w:w="1134"/>
        <w:gridCol w:w="1134"/>
        <w:gridCol w:w="1134"/>
        <w:gridCol w:w="1134"/>
      </w:tblGrid>
      <w:tr w:rsidR="00557FDB" w:rsidTr="00557FDB">
        <w:tc>
          <w:tcPr>
            <w:tcW w:w="155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557FDB" w:rsidRDefault="00557FDB">
            <w:pPr>
              <w:rPr>
                <w:rFonts w:ascii="Calibri" w:hAnsi="Calibri"/>
                <w:b/>
                <w:bCs/>
              </w:rPr>
            </w:pP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557FDB" w:rsidRDefault="00557FDB">
            <w:pPr>
              <w:jc w:val="center"/>
              <w:rPr>
                <w:rFonts w:ascii="Calibri" w:hAnsi="Calibri"/>
                <w:b/>
                <w:bCs/>
              </w:rPr>
            </w:pPr>
            <w:r>
              <w:rPr>
                <w:b/>
                <w:bCs/>
              </w:rPr>
              <w:t>Unspecified</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557FDB" w:rsidRDefault="00557FDB">
            <w:pPr>
              <w:jc w:val="center"/>
              <w:rPr>
                <w:rFonts w:ascii="Calibri" w:hAnsi="Calibri"/>
                <w:b/>
                <w:bCs/>
              </w:rPr>
            </w:pPr>
            <w:r>
              <w:rPr>
                <w:b/>
                <w:bCs/>
              </w:rPr>
              <w:t>1-bed</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557FDB" w:rsidRDefault="00557FDB">
            <w:pPr>
              <w:jc w:val="center"/>
              <w:rPr>
                <w:rFonts w:ascii="Calibri" w:hAnsi="Calibri"/>
                <w:b/>
                <w:bCs/>
              </w:rPr>
            </w:pPr>
            <w:r>
              <w:rPr>
                <w:b/>
                <w:bCs/>
              </w:rPr>
              <w:t>2-bed</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557FDB" w:rsidRDefault="00557FDB">
            <w:pPr>
              <w:jc w:val="center"/>
              <w:rPr>
                <w:rFonts w:ascii="Calibri" w:hAnsi="Calibri"/>
                <w:b/>
                <w:bCs/>
              </w:rPr>
            </w:pPr>
            <w:r>
              <w:rPr>
                <w:b/>
                <w:bCs/>
              </w:rPr>
              <w:t>3-bed</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557FDB" w:rsidRDefault="00557FDB">
            <w:pPr>
              <w:jc w:val="center"/>
              <w:rPr>
                <w:rFonts w:ascii="Calibri" w:hAnsi="Calibri"/>
                <w:b/>
                <w:bCs/>
              </w:rPr>
            </w:pPr>
            <w:r>
              <w:rPr>
                <w:b/>
                <w:bCs/>
              </w:rPr>
              <w:t>4-bed +</w:t>
            </w:r>
          </w:p>
        </w:tc>
      </w:tr>
      <w:tr w:rsidR="00557FDB" w:rsidTr="00557FDB">
        <w:tc>
          <w:tcPr>
            <w:tcW w:w="1554"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57FDB" w:rsidRDefault="00557FDB">
            <w:pPr>
              <w:rPr>
                <w:rFonts w:ascii="Calibri" w:hAnsi="Calibri"/>
                <w:b/>
                <w:bCs/>
              </w:rPr>
            </w:pPr>
            <w:r>
              <w:rPr>
                <w:b/>
                <w:bCs/>
              </w:rPr>
              <w:t>Flats</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557FDB" w:rsidRDefault="00557FDB">
            <w:pPr>
              <w:jc w:val="center"/>
              <w:rPr>
                <w:rFonts w:ascii="Calibri" w:hAnsi="Calibri"/>
              </w:rPr>
            </w:pPr>
            <w:r>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57FDB" w:rsidRDefault="00557FDB">
            <w:pPr>
              <w:jc w:val="center"/>
              <w:rPr>
                <w:rFonts w:ascii="Calibri" w:hAnsi="Calibri"/>
                <w:b/>
                <w:bCs/>
              </w:rPr>
            </w:pPr>
            <w:r>
              <w:rPr>
                <w:b/>
                <w:bCs/>
              </w:rPr>
              <w:t>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57FDB" w:rsidRDefault="00557FDB">
            <w:pPr>
              <w:jc w:val="center"/>
              <w:rPr>
                <w:rFonts w:ascii="Calibri" w:hAnsi="Calibri"/>
                <w:b/>
                <w:bCs/>
              </w:rPr>
            </w:pPr>
            <w:r>
              <w:rPr>
                <w:b/>
                <w:bCs/>
              </w:rPr>
              <w:t>16</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557FDB" w:rsidRDefault="00557FDB">
            <w:pPr>
              <w:jc w:val="center"/>
              <w:rPr>
                <w:rFonts w:ascii="Calibri" w:hAnsi="Calibri"/>
              </w:rPr>
            </w:pPr>
            <w:r>
              <w:t>-</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557FDB" w:rsidRDefault="00557FDB">
            <w:pPr>
              <w:jc w:val="center"/>
              <w:rPr>
                <w:rFonts w:ascii="Calibri" w:hAnsi="Calibri"/>
              </w:rPr>
            </w:pPr>
            <w:r>
              <w:t>-</w:t>
            </w:r>
          </w:p>
        </w:tc>
      </w:tr>
      <w:tr w:rsidR="00557FDB" w:rsidTr="00557FDB">
        <w:tc>
          <w:tcPr>
            <w:tcW w:w="1554"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57FDB" w:rsidRDefault="00557FDB">
            <w:pPr>
              <w:rPr>
                <w:rFonts w:ascii="Calibri" w:hAnsi="Calibri"/>
                <w:b/>
                <w:bCs/>
              </w:rPr>
            </w:pPr>
            <w:r>
              <w:rPr>
                <w:b/>
                <w:bCs/>
              </w:rPr>
              <w:t>Bungalows</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557FDB" w:rsidRDefault="00557FDB">
            <w:pPr>
              <w:jc w:val="center"/>
              <w:rPr>
                <w:rFonts w:ascii="Calibri" w:hAnsi="Calibri"/>
              </w:rPr>
            </w:pPr>
            <w:r>
              <w:t>-</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557FDB" w:rsidRDefault="00557FDB">
            <w:pPr>
              <w:jc w:val="center"/>
              <w:rPr>
                <w:rFonts w:ascii="Calibri" w:hAnsi="Calibri"/>
              </w:rPr>
            </w:pPr>
            <w:r>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57FDB" w:rsidRDefault="00557FDB">
            <w:pPr>
              <w:jc w:val="center"/>
              <w:rPr>
                <w:rFonts w:ascii="Calibri" w:hAnsi="Calibri"/>
                <w:b/>
                <w:bCs/>
              </w:rPr>
            </w:pPr>
            <w:r>
              <w:rPr>
                <w:b/>
                <w:bCs/>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57FDB" w:rsidRDefault="00557FDB">
            <w:pPr>
              <w:jc w:val="center"/>
              <w:rPr>
                <w:rFonts w:ascii="Calibri" w:hAnsi="Calibri"/>
                <w:b/>
                <w:bCs/>
              </w:rPr>
            </w:pPr>
            <w:r>
              <w:rPr>
                <w:b/>
                <w:bCs/>
              </w:rPr>
              <w:t>4</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557FDB" w:rsidRDefault="00557FDB">
            <w:pPr>
              <w:jc w:val="center"/>
              <w:rPr>
                <w:rFonts w:ascii="Calibri" w:hAnsi="Calibri"/>
              </w:rPr>
            </w:pPr>
            <w:r>
              <w:t>-</w:t>
            </w:r>
          </w:p>
        </w:tc>
      </w:tr>
      <w:tr w:rsidR="00557FDB" w:rsidTr="00557FDB">
        <w:tc>
          <w:tcPr>
            <w:tcW w:w="1554"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57FDB" w:rsidRDefault="00557FDB">
            <w:pPr>
              <w:rPr>
                <w:rFonts w:ascii="Calibri" w:hAnsi="Calibri"/>
                <w:b/>
                <w:bCs/>
              </w:rPr>
            </w:pPr>
            <w:r>
              <w:rPr>
                <w:b/>
                <w:bCs/>
              </w:rPr>
              <w:t>Houses</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557FDB" w:rsidRDefault="00557FDB">
            <w:pPr>
              <w:jc w:val="center"/>
              <w:rPr>
                <w:rFonts w:ascii="Calibri" w:hAnsi="Calibri"/>
              </w:rPr>
            </w:pPr>
            <w:r>
              <w:t>-</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557FDB" w:rsidRDefault="00557FDB">
            <w:pPr>
              <w:jc w:val="center"/>
              <w:rPr>
                <w:rFonts w:ascii="Calibri" w:hAnsi="Calibri"/>
              </w:rPr>
            </w:pPr>
            <w:r>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57FDB" w:rsidRDefault="00557FDB">
            <w:pPr>
              <w:jc w:val="center"/>
              <w:rPr>
                <w:rFonts w:ascii="Calibri" w:hAnsi="Calibri"/>
                <w:b/>
                <w:bCs/>
              </w:rPr>
            </w:pPr>
            <w:r>
              <w:rPr>
                <w:b/>
                <w:bCs/>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57FDB" w:rsidRDefault="00557FDB">
            <w:pPr>
              <w:jc w:val="center"/>
              <w:rPr>
                <w:rFonts w:ascii="Calibri" w:hAnsi="Calibri"/>
                <w:b/>
                <w:bCs/>
              </w:rPr>
            </w:pPr>
            <w:r>
              <w:rPr>
                <w:b/>
                <w:bCs/>
              </w:rPr>
              <w:t>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57FDB" w:rsidRDefault="00557FDB">
            <w:pPr>
              <w:jc w:val="center"/>
              <w:rPr>
                <w:rFonts w:ascii="Calibri" w:hAnsi="Calibri"/>
                <w:b/>
                <w:bCs/>
              </w:rPr>
            </w:pPr>
            <w:r>
              <w:rPr>
                <w:b/>
                <w:bCs/>
              </w:rPr>
              <w:t>8</w:t>
            </w:r>
          </w:p>
        </w:tc>
      </w:tr>
      <w:tr w:rsidR="00557FDB" w:rsidTr="00557FDB">
        <w:tc>
          <w:tcPr>
            <w:tcW w:w="1554"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57FDB" w:rsidRDefault="00557FDB">
            <w:pPr>
              <w:rPr>
                <w:rFonts w:ascii="Calibri" w:hAnsi="Calibri"/>
                <w:b/>
                <w:bCs/>
              </w:rPr>
            </w:pPr>
            <w:r>
              <w:rPr>
                <w:b/>
                <w:bCs/>
              </w:rPr>
              <w:t>Unknown</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557FDB" w:rsidRDefault="00557FDB">
            <w:pPr>
              <w:jc w:val="center"/>
              <w:rPr>
                <w:rFonts w:ascii="Calibri" w:hAnsi="Calibri"/>
              </w:rPr>
            </w:pPr>
            <w:r>
              <w:t>-</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557FDB" w:rsidRDefault="00557FDB">
            <w:pPr>
              <w:jc w:val="center"/>
              <w:rPr>
                <w:rFonts w:ascii="Calibri" w:hAnsi="Calibri"/>
              </w:rPr>
            </w:pPr>
            <w:r>
              <w:t>-</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557FDB" w:rsidRDefault="00557FDB">
            <w:pPr>
              <w:jc w:val="center"/>
              <w:rPr>
                <w:rFonts w:ascii="Calibri" w:hAnsi="Calibri"/>
              </w:rPr>
            </w:pPr>
            <w:r>
              <w:t>-</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557FDB" w:rsidRDefault="00557FDB">
            <w:pPr>
              <w:jc w:val="center"/>
              <w:rPr>
                <w:rFonts w:ascii="Calibri" w:hAnsi="Calibri"/>
              </w:rPr>
            </w:pPr>
            <w:r>
              <w:t>-</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557FDB" w:rsidRDefault="00557FDB">
            <w:pPr>
              <w:jc w:val="center"/>
              <w:rPr>
                <w:rFonts w:ascii="Calibri" w:hAnsi="Calibri"/>
              </w:rPr>
            </w:pPr>
            <w:r>
              <w:t>-</w:t>
            </w:r>
          </w:p>
        </w:tc>
      </w:tr>
    </w:tbl>
    <w:p w:rsidR="00557FDB" w:rsidRDefault="00557FDB" w:rsidP="00557FDB">
      <w:pPr>
        <w:rPr>
          <w:rFonts w:ascii="Calibri" w:hAnsi="Calibri"/>
        </w:rPr>
      </w:pPr>
    </w:p>
    <w:p w:rsidR="00557FDB" w:rsidRPr="00557FDB" w:rsidRDefault="00557FDB" w:rsidP="00557FDB">
      <w:pPr>
        <w:rPr>
          <w:rFonts w:ascii="Arial" w:hAnsi="Arial" w:cs="Arial"/>
          <w:sz w:val="24"/>
          <w:szCs w:val="24"/>
        </w:rPr>
      </w:pPr>
      <w:r w:rsidRPr="00557FDB">
        <w:rPr>
          <w:rFonts w:ascii="Arial" w:hAnsi="Arial" w:cs="Arial"/>
          <w:sz w:val="24"/>
          <w:szCs w:val="24"/>
        </w:rPr>
        <w:t xml:space="preserve">There were significantly more net completions recorded in the </w:t>
      </w:r>
      <w:r w:rsidRPr="00557FDB">
        <w:rPr>
          <w:rFonts w:ascii="Arial" w:hAnsi="Arial" w:cs="Arial"/>
          <w:sz w:val="24"/>
          <w:szCs w:val="24"/>
          <w:u w:val="single"/>
        </w:rPr>
        <w:t>parish</w:t>
      </w:r>
      <w:r w:rsidRPr="00557FDB">
        <w:rPr>
          <w:rFonts w:ascii="Arial" w:hAnsi="Arial" w:cs="Arial"/>
          <w:sz w:val="24"/>
          <w:szCs w:val="24"/>
        </w:rPr>
        <w:t xml:space="preserve"> of Great Cornard over the same time period</w:t>
      </w:r>
      <w:r>
        <w:rPr>
          <w:rFonts w:ascii="Arial" w:hAnsi="Arial" w:cs="Arial"/>
          <w:sz w:val="24"/>
          <w:szCs w:val="24"/>
        </w:rPr>
        <w:t xml:space="preserve">.  </w:t>
      </w:r>
      <w:r w:rsidRPr="00557FDB">
        <w:rPr>
          <w:rFonts w:ascii="Arial" w:hAnsi="Arial" w:cs="Arial"/>
          <w:sz w:val="24"/>
          <w:szCs w:val="24"/>
        </w:rPr>
        <w:t>Total = 340</w:t>
      </w:r>
    </w:p>
    <w:tbl>
      <w:tblPr>
        <w:tblW w:w="0" w:type="auto"/>
        <w:tblCellMar>
          <w:left w:w="0" w:type="dxa"/>
          <w:right w:w="0" w:type="dxa"/>
        </w:tblCellMar>
        <w:tblLook w:val="04A0" w:firstRow="1" w:lastRow="0" w:firstColumn="1" w:lastColumn="0" w:noHBand="0" w:noVBand="1"/>
      </w:tblPr>
      <w:tblGrid>
        <w:gridCol w:w="1554"/>
        <w:gridCol w:w="1293"/>
        <w:gridCol w:w="1134"/>
        <w:gridCol w:w="1134"/>
        <w:gridCol w:w="1134"/>
        <w:gridCol w:w="1134"/>
      </w:tblGrid>
      <w:tr w:rsidR="00557FDB" w:rsidTr="00557FDB">
        <w:tc>
          <w:tcPr>
            <w:tcW w:w="155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557FDB" w:rsidRDefault="00557FDB">
            <w:pPr>
              <w:rPr>
                <w:rFonts w:ascii="Calibri" w:hAnsi="Calibri"/>
                <w:b/>
                <w:bCs/>
              </w:rPr>
            </w:pPr>
          </w:p>
        </w:tc>
        <w:tc>
          <w:tcPr>
            <w:tcW w:w="129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557FDB" w:rsidRDefault="00557FDB">
            <w:pPr>
              <w:jc w:val="center"/>
              <w:rPr>
                <w:rFonts w:ascii="Calibri" w:hAnsi="Calibri"/>
                <w:b/>
                <w:bCs/>
              </w:rPr>
            </w:pPr>
            <w:r>
              <w:rPr>
                <w:b/>
                <w:bCs/>
              </w:rPr>
              <w:t>Unspecified</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557FDB" w:rsidRDefault="00557FDB">
            <w:pPr>
              <w:jc w:val="center"/>
              <w:rPr>
                <w:rFonts w:ascii="Calibri" w:hAnsi="Calibri"/>
                <w:b/>
                <w:bCs/>
              </w:rPr>
            </w:pPr>
            <w:r>
              <w:rPr>
                <w:b/>
                <w:bCs/>
              </w:rPr>
              <w:t>1-bed</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557FDB" w:rsidRDefault="00557FDB">
            <w:pPr>
              <w:jc w:val="center"/>
              <w:rPr>
                <w:rFonts w:ascii="Calibri" w:hAnsi="Calibri"/>
                <w:b/>
                <w:bCs/>
              </w:rPr>
            </w:pPr>
            <w:r>
              <w:rPr>
                <w:b/>
                <w:bCs/>
              </w:rPr>
              <w:t>2-bed</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557FDB" w:rsidRDefault="00557FDB">
            <w:pPr>
              <w:jc w:val="center"/>
              <w:rPr>
                <w:rFonts w:ascii="Calibri" w:hAnsi="Calibri"/>
                <w:b/>
                <w:bCs/>
              </w:rPr>
            </w:pPr>
            <w:r>
              <w:rPr>
                <w:b/>
                <w:bCs/>
              </w:rPr>
              <w:t>3-bed</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557FDB" w:rsidRDefault="00557FDB">
            <w:pPr>
              <w:jc w:val="center"/>
              <w:rPr>
                <w:rFonts w:ascii="Calibri" w:hAnsi="Calibri"/>
                <w:b/>
                <w:bCs/>
              </w:rPr>
            </w:pPr>
            <w:r>
              <w:rPr>
                <w:b/>
                <w:bCs/>
              </w:rPr>
              <w:t>4-bed +</w:t>
            </w:r>
          </w:p>
        </w:tc>
      </w:tr>
      <w:tr w:rsidR="00557FDB" w:rsidTr="00557FDB">
        <w:tc>
          <w:tcPr>
            <w:tcW w:w="1554"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57FDB" w:rsidRDefault="00557FDB">
            <w:pPr>
              <w:rPr>
                <w:rFonts w:ascii="Calibri" w:hAnsi="Calibri"/>
                <w:b/>
                <w:bCs/>
              </w:rPr>
            </w:pPr>
            <w:r>
              <w:rPr>
                <w:b/>
                <w:bCs/>
              </w:rPr>
              <w:t>Flats</w:t>
            </w:r>
          </w:p>
        </w:tc>
        <w:tc>
          <w:tcPr>
            <w:tcW w:w="1293" w:type="dxa"/>
            <w:tcBorders>
              <w:top w:val="nil"/>
              <w:left w:val="nil"/>
              <w:bottom w:val="single" w:sz="8" w:space="0" w:color="auto"/>
              <w:right w:val="single" w:sz="8" w:space="0" w:color="auto"/>
            </w:tcBorders>
            <w:tcMar>
              <w:top w:w="0" w:type="dxa"/>
              <w:left w:w="108" w:type="dxa"/>
              <w:bottom w:w="0" w:type="dxa"/>
              <w:right w:w="108" w:type="dxa"/>
            </w:tcMar>
            <w:hideMark/>
          </w:tcPr>
          <w:p w:rsidR="00557FDB" w:rsidRDefault="00557FDB">
            <w:pPr>
              <w:jc w:val="center"/>
              <w:rPr>
                <w:rFonts w:ascii="Calibri" w:hAnsi="Calibri"/>
                <w:b/>
                <w:bCs/>
              </w:rPr>
            </w:pPr>
            <w:r>
              <w:rPr>
                <w:b/>
                <w:bCs/>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57FDB" w:rsidRDefault="00557FDB">
            <w:pPr>
              <w:jc w:val="center"/>
              <w:rPr>
                <w:rFonts w:ascii="Calibri" w:hAnsi="Calibri"/>
                <w:b/>
                <w:bCs/>
              </w:rPr>
            </w:pPr>
            <w:r>
              <w:rPr>
                <w:b/>
                <w:bCs/>
              </w:rPr>
              <w:t>43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57FDB" w:rsidRDefault="00557FDB">
            <w:pPr>
              <w:jc w:val="center"/>
              <w:rPr>
                <w:rFonts w:ascii="Calibri" w:hAnsi="Calibri"/>
                <w:b/>
                <w:bCs/>
              </w:rPr>
            </w:pPr>
            <w:r>
              <w:rPr>
                <w:b/>
                <w:bCs/>
              </w:rPr>
              <w:t>39</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557FDB" w:rsidRDefault="00557FDB">
            <w:pPr>
              <w:jc w:val="center"/>
              <w:rPr>
                <w:rFonts w:ascii="Calibri" w:hAnsi="Calibri"/>
              </w:rPr>
            </w:pPr>
            <w:r>
              <w:t>-</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557FDB" w:rsidRDefault="00557FDB">
            <w:pPr>
              <w:jc w:val="center"/>
              <w:rPr>
                <w:rFonts w:ascii="Calibri" w:hAnsi="Calibri"/>
              </w:rPr>
            </w:pPr>
            <w:r>
              <w:t>-</w:t>
            </w:r>
          </w:p>
        </w:tc>
      </w:tr>
      <w:tr w:rsidR="00557FDB" w:rsidTr="00557FDB">
        <w:tc>
          <w:tcPr>
            <w:tcW w:w="1554"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57FDB" w:rsidRDefault="00557FDB">
            <w:pPr>
              <w:rPr>
                <w:rFonts w:ascii="Calibri" w:hAnsi="Calibri"/>
                <w:b/>
                <w:bCs/>
              </w:rPr>
            </w:pPr>
            <w:r>
              <w:rPr>
                <w:b/>
                <w:bCs/>
              </w:rPr>
              <w:t>Bungalows</w:t>
            </w:r>
          </w:p>
        </w:tc>
        <w:tc>
          <w:tcPr>
            <w:tcW w:w="129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557FDB" w:rsidRDefault="00557FDB">
            <w:pPr>
              <w:jc w:val="center"/>
              <w:rPr>
                <w:rFonts w:ascii="Calibri" w:hAnsi="Calibri"/>
              </w:rPr>
            </w:pPr>
            <w:r>
              <w:t>-</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557FDB" w:rsidRDefault="00557FDB">
            <w:pPr>
              <w:jc w:val="center"/>
              <w:rPr>
                <w:rFonts w:ascii="Calibri" w:hAnsi="Calibri"/>
              </w:rPr>
            </w:pPr>
            <w:r>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57FDB" w:rsidRDefault="00557FDB">
            <w:pPr>
              <w:jc w:val="center"/>
              <w:rPr>
                <w:rFonts w:ascii="Calibri" w:hAnsi="Calibri"/>
                <w:b/>
                <w:bCs/>
              </w:rPr>
            </w:pPr>
            <w:r>
              <w:rPr>
                <w:b/>
                <w:bCs/>
              </w:rPr>
              <w:t>23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57FDB" w:rsidRDefault="00557FDB">
            <w:pPr>
              <w:jc w:val="center"/>
              <w:rPr>
                <w:rFonts w:ascii="Calibri" w:hAnsi="Calibri"/>
                <w:b/>
                <w:bCs/>
              </w:rPr>
            </w:pPr>
            <w:r>
              <w:rPr>
                <w:b/>
                <w:bCs/>
              </w:rPr>
              <w:t>11</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557FDB" w:rsidRDefault="00557FDB">
            <w:pPr>
              <w:jc w:val="center"/>
              <w:rPr>
                <w:rFonts w:ascii="Calibri" w:hAnsi="Calibri"/>
              </w:rPr>
            </w:pPr>
            <w:r>
              <w:t>-</w:t>
            </w:r>
          </w:p>
        </w:tc>
      </w:tr>
      <w:tr w:rsidR="00557FDB" w:rsidTr="00557FDB">
        <w:tc>
          <w:tcPr>
            <w:tcW w:w="1554"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57FDB" w:rsidRDefault="00557FDB">
            <w:pPr>
              <w:rPr>
                <w:rFonts w:ascii="Calibri" w:hAnsi="Calibri"/>
                <w:b/>
                <w:bCs/>
              </w:rPr>
            </w:pPr>
            <w:r>
              <w:rPr>
                <w:b/>
                <w:bCs/>
              </w:rPr>
              <w:t>Houses</w:t>
            </w:r>
          </w:p>
        </w:tc>
        <w:tc>
          <w:tcPr>
            <w:tcW w:w="129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557FDB" w:rsidRDefault="00557FDB">
            <w:pPr>
              <w:jc w:val="center"/>
              <w:rPr>
                <w:rFonts w:ascii="Calibri" w:hAnsi="Calibri"/>
              </w:rPr>
            </w:pPr>
            <w:r>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57FDB" w:rsidRDefault="00557FDB">
            <w:pPr>
              <w:jc w:val="center"/>
              <w:rPr>
                <w:rFonts w:ascii="Calibri" w:hAnsi="Calibri"/>
                <w:b/>
                <w:bCs/>
              </w:rPr>
            </w:pPr>
            <w:r>
              <w:rPr>
                <w:b/>
                <w:bCs/>
              </w:rPr>
              <w:t>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57FDB" w:rsidRDefault="00557FDB">
            <w:pPr>
              <w:jc w:val="center"/>
              <w:rPr>
                <w:rFonts w:ascii="Calibri" w:hAnsi="Calibri"/>
                <w:b/>
                <w:bCs/>
              </w:rPr>
            </w:pPr>
            <w:r>
              <w:rPr>
                <w:b/>
                <w:bCs/>
              </w:rPr>
              <w:t>62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57FDB" w:rsidRDefault="00557FDB">
            <w:pPr>
              <w:jc w:val="center"/>
              <w:rPr>
                <w:rFonts w:ascii="Calibri" w:hAnsi="Calibri"/>
                <w:b/>
                <w:bCs/>
              </w:rPr>
            </w:pPr>
            <w:r>
              <w:rPr>
                <w:b/>
                <w:bCs/>
              </w:rPr>
              <w:t>83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57FDB" w:rsidRDefault="00557FDB">
            <w:pPr>
              <w:jc w:val="center"/>
              <w:rPr>
                <w:rFonts w:ascii="Calibri" w:hAnsi="Calibri"/>
                <w:b/>
                <w:bCs/>
              </w:rPr>
            </w:pPr>
            <w:r>
              <w:rPr>
                <w:b/>
                <w:bCs/>
              </w:rPr>
              <w:t>65</w:t>
            </w:r>
          </w:p>
        </w:tc>
      </w:tr>
      <w:tr w:rsidR="00557FDB" w:rsidTr="00557FDB">
        <w:tc>
          <w:tcPr>
            <w:tcW w:w="1554"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57FDB" w:rsidRDefault="00557FDB">
            <w:pPr>
              <w:rPr>
                <w:rFonts w:ascii="Calibri" w:hAnsi="Calibri"/>
                <w:b/>
                <w:bCs/>
              </w:rPr>
            </w:pPr>
            <w:r>
              <w:rPr>
                <w:b/>
                <w:bCs/>
              </w:rPr>
              <w:t>Unknown</w:t>
            </w:r>
          </w:p>
        </w:tc>
        <w:tc>
          <w:tcPr>
            <w:tcW w:w="129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557FDB" w:rsidRDefault="00557FDB">
            <w:pPr>
              <w:jc w:val="center"/>
              <w:rPr>
                <w:rFonts w:ascii="Calibri" w:hAnsi="Calibri"/>
              </w:rPr>
            </w:pPr>
            <w:r>
              <w:t>-</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557FDB" w:rsidRDefault="00557FDB">
            <w:pPr>
              <w:jc w:val="center"/>
              <w:rPr>
                <w:rFonts w:ascii="Calibri" w:hAnsi="Calibri"/>
              </w:rPr>
            </w:pPr>
            <w:r>
              <w:t>-</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557FDB" w:rsidRDefault="00557FDB">
            <w:pPr>
              <w:jc w:val="center"/>
              <w:rPr>
                <w:rFonts w:ascii="Calibri" w:hAnsi="Calibri"/>
              </w:rPr>
            </w:pPr>
            <w:r>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57FDB" w:rsidRDefault="00557FDB">
            <w:pPr>
              <w:jc w:val="center"/>
              <w:rPr>
                <w:rFonts w:ascii="Calibri" w:hAnsi="Calibri"/>
                <w:b/>
                <w:bCs/>
              </w:rPr>
            </w:pPr>
            <w:r>
              <w:rPr>
                <w:b/>
                <w:bCs/>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57FDB" w:rsidRDefault="00557FDB">
            <w:pPr>
              <w:jc w:val="center"/>
              <w:rPr>
                <w:rFonts w:ascii="Calibri" w:hAnsi="Calibri"/>
                <w:b/>
                <w:bCs/>
              </w:rPr>
            </w:pPr>
            <w:r>
              <w:rPr>
                <w:b/>
                <w:bCs/>
              </w:rPr>
              <w:t>4</w:t>
            </w:r>
          </w:p>
        </w:tc>
      </w:tr>
    </w:tbl>
    <w:p w:rsidR="00557FDB" w:rsidRDefault="00557FDB" w:rsidP="00557FDB">
      <w:pPr>
        <w:rPr>
          <w:rFonts w:ascii="Calibri" w:hAnsi="Calibri"/>
        </w:rPr>
      </w:pPr>
    </w:p>
    <w:p w:rsidR="009F0766" w:rsidRDefault="00557FDB">
      <w:pPr>
        <w:rPr>
          <w:rFonts w:ascii="Arial" w:hAnsi="Arial" w:cs="Arial"/>
          <w:sz w:val="24"/>
          <w:szCs w:val="24"/>
        </w:rPr>
      </w:pPr>
      <w:r w:rsidRPr="00557FDB">
        <w:rPr>
          <w:rFonts w:ascii="Arial" w:hAnsi="Arial" w:cs="Arial"/>
          <w:sz w:val="24"/>
          <w:szCs w:val="24"/>
        </w:rPr>
        <w:t>The Access Database doesn’t record completions by Ward</w:t>
      </w:r>
      <w:r>
        <w:rPr>
          <w:rFonts w:ascii="Arial" w:hAnsi="Arial" w:cs="Arial"/>
          <w:sz w:val="24"/>
          <w:szCs w:val="24"/>
        </w:rPr>
        <w:t xml:space="preserve">   (Paul B).</w:t>
      </w:r>
    </w:p>
    <w:p w:rsidR="00557FDB" w:rsidRPr="00557FDB" w:rsidRDefault="00557FDB">
      <w:pPr>
        <w:rPr>
          <w:rFonts w:ascii="Arial" w:hAnsi="Arial" w:cs="Arial"/>
          <w:b/>
          <w:sz w:val="24"/>
          <w:szCs w:val="24"/>
        </w:rPr>
      </w:pPr>
    </w:p>
    <w:p w:rsidR="00C342DB" w:rsidRPr="002A3614" w:rsidRDefault="009F0766" w:rsidP="002A3614">
      <w:pPr>
        <w:pStyle w:val="ListParagraph"/>
        <w:numPr>
          <w:ilvl w:val="0"/>
          <w:numId w:val="8"/>
        </w:numPr>
        <w:rPr>
          <w:rFonts w:ascii="Arial" w:hAnsi="Arial" w:cs="Arial"/>
          <w:sz w:val="24"/>
          <w:szCs w:val="24"/>
        </w:rPr>
      </w:pPr>
      <w:r w:rsidRPr="00557FDB">
        <w:rPr>
          <w:rFonts w:ascii="Arial" w:hAnsi="Arial" w:cs="Arial"/>
          <w:b/>
          <w:sz w:val="24"/>
          <w:szCs w:val="24"/>
        </w:rPr>
        <w:t>Sudbury t</w:t>
      </w:r>
      <w:r w:rsidR="00C342DB" w:rsidRPr="00557FDB">
        <w:rPr>
          <w:rFonts w:ascii="Arial" w:hAnsi="Arial" w:cs="Arial"/>
          <w:b/>
          <w:sz w:val="24"/>
          <w:szCs w:val="24"/>
        </w:rPr>
        <w:t>he place:</w:t>
      </w:r>
      <w:r w:rsidRPr="002A3614">
        <w:rPr>
          <w:rFonts w:ascii="Arial" w:hAnsi="Arial" w:cs="Arial"/>
          <w:sz w:val="24"/>
          <w:szCs w:val="24"/>
        </w:rPr>
        <w:t xml:space="preserve">  good description in the above link from Bellway</w:t>
      </w:r>
      <w:r w:rsidR="00B27C96" w:rsidRPr="002A3614">
        <w:rPr>
          <w:rFonts w:ascii="Arial" w:hAnsi="Arial" w:cs="Arial"/>
          <w:sz w:val="24"/>
          <w:szCs w:val="24"/>
        </w:rPr>
        <w:t>.  Biggest social issue for Babergh generally, is increase in total number of households with head of household aged 80 or over.  However, an increased supply of quality, all-age accessible homes close to goods and services would support an ageing population maintain good health, independence and to age positively.</w:t>
      </w:r>
      <w:r w:rsidR="00481857" w:rsidRPr="002A3614">
        <w:rPr>
          <w:rFonts w:ascii="Arial" w:hAnsi="Arial" w:cs="Arial"/>
          <w:sz w:val="24"/>
          <w:szCs w:val="24"/>
        </w:rPr>
        <w:t xml:space="preserve">  </w:t>
      </w:r>
    </w:p>
    <w:p w:rsidR="00F8177A" w:rsidRPr="001219A3" w:rsidRDefault="009F0766">
      <w:pPr>
        <w:rPr>
          <w:rFonts w:ascii="Arial" w:hAnsi="Arial" w:cs="Arial"/>
          <w:sz w:val="24"/>
          <w:szCs w:val="24"/>
        </w:rPr>
      </w:pPr>
      <w:r w:rsidRPr="001219A3">
        <w:rPr>
          <w:rFonts w:ascii="Arial" w:hAnsi="Arial" w:cs="Arial"/>
          <w:sz w:val="24"/>
          <w:szCs w:val="24"/>
        </w:rPr>
        <w:t xml:space="preserve">Also, consider </w:t>
      </w:r>
      <w:r w:rsidR="00B27C96" w:rsidRPr="001219A3">
        <w:rPr>
          <w:rFonts w:ascii="Arial" w:hAnsi="Arial" w:cs="Arial"/>
          <w:sz w:val="24"/>
          <w:szCs w:val="24"/>
        </w:rPr>
        <w:t xml:space="preserve">the potential </w:t>
      </w:r>
      <w:r w:rsidRPr="001219A3">
        <w:rPr>
          <w:rFonts w:ascii="Arial" w:hAnsi="Arial" w:cs="Arial"/>
          <w:sz w:val="24"/>
          <w:szCs w:val="24"/>
        </w:rPr>
        <w:t xml:space="preserve">positive impact of the pilot ‘Sudbury Connect’ on over 55 housing market.  Too early to know the benefits of Sudbury Connect </w:t>
      </w:r>
      <w:hyperlink r:id="rId10" w:history="1">
        <w:r w:rsidR="00EE284A" w:rsidRPr="001219A3">
          <w:rPr>
            <w:rStyle w:val="Hyperlink"/>
            <w:rFonts w:ascii="Arial" w:hAnsi="Arial" w:cs="Arial"/>
            <w:sz w:val="24"/>
            <w:szCs w:val="24"/>
          </w:rPr>
          <w:t>http://sudburyhive.org/connect-sudbury/frequently-ask</w:t>
        </w:r>
        <w:r w:rsidR="00EE284A" w:rsidRPr="001219A3">
          <w:rPr>
            <w:rStyle w:val="Hyperlink"/>
            <w:rFonts w:ascii="Arial" w:hAnsi="Arial" w:cs="Arial"/>
            <w:sz w:val="24"/>
            <w:szCs w:val="24"/>
          </w:rPr>
          <w:t>e</w:t>
        </w:r>
        <w:r w:rsidR="00EE284A" w:rsidRPr="001219A3">
          <w:rPr>
            <w:rStyle w:val="Hyperlink"/>
            <w:rFonts w:ascii="Arial" w:hAnsi="Arial" w:cs="Arial"/>
            <w:sz w:val="24"/>
            <w:szCs w:val="24"/>
          </w:rPr>
          <w:t>d-questions/</w:t>
        </w:r>
      </w:hyperlink>
      <w:r w:rsidR="00EE284A" w:rsidRPr="001219A3">
        <w:rPr>
          <w:rFonts w:ascii="Arial" w:hAnsi="Arial" w:cs="Arial"/>
          <w:sz w:val="24"/>
          <w:szCs w:val="24"/>
        </w:rPr>
        <w:t xml:space="preserve">   but has the potential to make Sudbury a destination of choice for right</w:t>
      </w:r>
      <w:r w:rsidR="00B27C96" w:rsidRPr="001219A3">
        <w:rPr>
          <w:rFonts w:ascii="Arial" w:hAnsi="Arial" w:cs="Arial"/>
          <w:sz w:val="24"/>
          <w:szCs w:val="24"/>
        </w:rPr>
        <w:t>-</w:t>
      </w:r>
      <w:r w:rsidR="00EE284A" w:rsidRPr="001219A3">
        <w:rPr>
          <w:rFonts w:ascii="Arial" w:hAnsi="Arial" w:cs="Arial"/>
          <w:sz w:val="24"/>
          <w:szCs w:val="24"/>
        </w:rPr>
        <w:t>sizing householders.</w:t>
      </w:r>
    </w:p>
    <w:p w:rsidR="00C342DB" w:rsidRPr="002A3614" w:rsidRDefault="00C342DB" w:rsidP="002A3614">
      <w:pPr>
        <w:pStyle w:val="ListParagraph"/>
        <w:numPr>
          <w:ilvl w:val="0"/>
          <w:numId w:val="8"/>
        </w:numPr>
        <w:rPr>
          <w:rFonts w:ascii="Arial" w:hAnsi="Arial" w:cs="Arial"/>
          <w:b/>
          <w:sz w:val="24"/>
          <w:szCs w:val="24"/>
        </w:rPr>
      </w:pPr>
      <w:r w:rsidRPr="002A3614">
        <w:rPr>
          <w:rFonts w:ascii="Arial" w:hAnsi="Arial" w:cs="Arial"/>
          <w:b/>
          <w:sz w:val="24"/>
          <w:szCs w:val="24"/>
        </w:rPr>
        <w:lastRenderedPageBreak/>
        <w:t>Belle Vue site specifics:</w:t>
      </w:r>
    </w:p>
    <w:p w:rsidR="00C342DB" w:rsidRPr="001219A3" w:rsidRDefault="00195CD8" w:rsidP="00C342DB">
      <w:pPr>
        <w:pStyle w:val="ListParagraph"/>
        <w:numPr>
          <w:ilvl w:val="0"/>
          <w:numId w:val="2"/>
        </w:numPr>
        <w:rPr>
          <w:rFonts w:ascii="Arial" w:hAnsi="Arial" w:cs="Arial"/>
          <w:sz w:val="24"/>
          <w:szCs w:val="24"/>
        </w:rPr>
      </w:pPr>
      <w:r w:rsidRPr="001219A3">
        <w:rPr>
          <w:rFonts w:ascii="Arial" w:hAnsi="Arial" w:cs="Arial"/>
          <w:sz w:val="24"/>
          <w:szCs w:val="24"/>
        </w:rPr>
        <w:t xml:space="preserve">5 mins walk from town centre, containing complete range of goods and services including health care, shops, train station, bus station, taxis, petrol station, council service access point, cultural and heritage opportunities, footpath network, sporting and exercise venues, theatre, </w:t>
      </w:r>
    </w:p>
    <w:p w:rsidR="00195CD8" w:rsidRPr="001219A3" w:rsidRDefault="00195CD8" w:rsidP="00C342DB">
      <w:pPr>
        <w:pStyle w:val="ListParagraph"/>
        <w:numPr>
          <w:ilvl w:val="0"/>
          <w:numId w:val="2"/>
        </w:numPr>
        <w:rPr>
          <w:rFonts w:ascii="Arial" w:hAnsi="Arial" w:cs="Arial"/>
          <w:sz w:val="24"/>
          <w:szCs w:val="24"/>
        </w:rPr>
      </w:pPr>
      <w:r w:rsidRPr="001219A3">
        <w:rPr>
          <w:rFonts w:ascii="Arial" w:hAnsi="Arial" w:cs="Arial"/>
          <w:sz w:val="24"/>
          <w:szCs w:val="24"/>
        </w:rPr>
        <w:t xml:space="preserve">Recreation site directly to the rear </w:t>
      </w:r>
    </w:p>
    <w:p w:rsidR="00195CD8" w:rsidRPr="001219A3" w:rsidRDefault="00EE284A" w:rsidP="00C342DB">
      <w:pPr>
        <w:pStyle w:val="ListParagraph"/>
        <w:numPr>
          <w:ilvl w:val="0"/>
          <w:numId w:val="2"/>
        </w:numPr>
        <w:rPr>
          <w:rFonts w:ascii="Arial" w:hAnsi="Arial" w:cs="Arial"/>
          <w:sz w:val="24"/>
          <w:szCs w:val="24"/>
        </w:rPr>
      </w:pPr>
      <w:r w:rsidRPr="001219A3">
        <w:rPr>
          <w:rFonts w:ascii="Arial" w:hAnsi="Arial" w:cs="Arial"/>
          <w:sz w:val="24"/>
          <w:szCs w:val="24"/>
        </w:rPr>
        <w:t>Potential for off road parking on site</w:t>
      </w:r>
    </w:p>
    <w:p w:rsidR="00EE284A" w:rsidRPr="001219A3" w:rsidRDefault="00EE284A" w:rsidP="00C342DB">
      <w:pPr>
        <w:pStyle w:val="ListParagraph"/>
        <w:numPr>
          <w:ilvl w:val="0"/>
          <w:numId w:val="2"/>
        </w:numPr>
        <w:rPr>
          <w:rFonts w:ascii="Arial" w:hAnsi="Arial" w:cs="Arial"/>
          <w:sz w:val="24"/>
          <w:szCs w:val="24"/>
        </w:rPr>
      </w:pPr>
      <w:r w:rsidRPr="001219A3">
        <w:rPr>
          <w:rFonts w:ascii="Arial" w:hAnsi="Arial" w:cs="Arial"/>
          <w:sz w:val="24"/>
          <w:szCs w:val="24"/>
        </w:rPr>
        <w:t>Site is already well known to local residents</w:t>
      </w:r>
      <w:r w:rsidR="00050EFE">
        <w:rPr>
          <w:rFonts w:ascii="Arial" w:hAnsi="Arial" w:cs="Arial"/>
          <w:sz w:val="24"/>
          <w:szCs w:val="24"/>
        </w:rPr>
        <w:t xml:space="preserve"> so may be popular choice for aspiring home movers</w:t>
      </w:r>
    </w:p>
    <w:p w:rsidR="00EE284A" w:rsidRDefault="00EE284A" w:rsidP="00C342DB">
      <w:pPr>
        <w:pStyle w:val="ListParagraph"/>
        <w:numPr>
          <w:ilvl w:val="0"/>
          <w:numId w:val="2"/>
        </w:numPr>
        <w:rPr>
          <w:rFonts w:ascii="Arial" w:hAnsi="Arial" w:cs="Arial"/>
          <w:sz w:val="24"/>
          <w:szCs w:val="24"/>
        </w:rPr>
      </w:pPr>
      <w:r w:rsidRPr="001219A3">
        <w:rPr>
          <w:rFonts w:ascii="Arial" w:hAnsi="Arial" w:cs="Arial"/>
          <w:sz w:val="24"/>
          <w:szCs w:val="24"/>
        </w:rPr>
        <w:t>Site is on a slope, which will need mitigation consideration as frailer over 55s could find any slope limits accessibility or ease of use</w:t>
      </w:r>
      <w:r w:rsidR="00050EFE">
        <w:rPr>
          <w:rFonts w:ascii="Arial" w:hAnsi="Arial" w:cs="Arial"/>
          <w:sz w:val="24"/>
          <w:szCs w:val="24"/>
        </w:rPr>
        <w:t>.</w:t>
      </w:r>
    </w:p>
    <w:p w:rsidR="002A3614" w:rsidRPr="001219A3" w:rsidRDefault="002A3614" w:rsidP="002A3614">
      <w:pPr>
        <w:pStyle w:val="ListParagraph"/>
        <w:rPr>
          <w:rFonts w:ascii="Arial" w:hAnsi="Arial" w:cs="Arial"/>
          <w:sz w:val="24"/>
          <w:szCs w:val="24"/>
        </w:rPr>
      </w:pPr>
    </w:p>
    <w:p w:rsidR="00195CD8" w:rsidRPr="002A3614" w:rsidRDefault="00195CD8" w:rsidP="002A3614">
      <w:pPr>
        <w:pStyle w:val="ListParagraph"/>
        <w:numPr>
          <w:ilvl w:val="0"/>
          <w:numId w:val="8"/>
        </w:numPr>
        <w:rPr>
          <w:rFonts w:ascii="Arial" w:hAnsi="Arial" w:cs="Arial"/>
          <w:b/>
          <w:sz w:val="24"/>
          <w:szCs w:val="24"/>
        </w:rPr>
      </w:pPr>
      <w:proofErr w:type="spellStart"/>
      <w:r w:rsidRPr="002A3614">
        <w:rPr>
          <w:rFonts w:ascii="Arial" w:hAnsi="Arial" w:cs="Arial"/>
          <w:b/>
          <w:sz w:val="24"/>
          <w:szCs w:val="24"/>
        </w:rPr>
        <w:t>Churchills</w:t>
      </w:r>
      <w:proofErr w:type="spellEnd"/>
      <w:r w:rsidRPr="002A3614">
        <w:rPr>
          <w:rFonts w:ascii="Arial" w:hAnsi="Arial" w:cs="Arial"/>
          <w:b/>
          <w:sz w:val="24"/>
          <w:szCs w:val="24"/>
        </w:rPr>
        <w:t>:</w:t>
      </w:r>
    </w:p>
    <w:p w:rsidR="0023698E" w:rsidRPr="001219A3" w:rsidRDefault="001219A3">
      <w:pPr>
        <w:rPr>
          <w:rFonts w:ascii="Arial" w:hAnsi="Arial" w:cs="Arial"/>
          <w:sz w:val="24"/>
          <w:szCs w:val="24"/>
        </w:rPr>
      </w:pPr>
      <w:r w:rsidRPr="001219A3">
        <w:rPr>
          <w:rFonts w:ascii="Arial" w:hAnsi="Arial" w:cs="Arial"/>
          <w:sz w:val="24"/>
          <w:szCs w:val="24"/>
        </w:rPr>
        <w:t>No developments in Suffolk currently.  Closest are in Chelmsford, Saffron Walden, and Clacton and all are 30 miles by road from Sudbury!  (theaa.com travel planner)</w:t>
      </w:r>
    </w:p>
    <w:p w:rsidR="0023698E" w:rsidRPr="001219A3" w:rsidRDefault="009303B0">
      <w:pPr>
        <w:rPr>
          <w:rFonts w:ascii="Arial" w:hAnsi="Arial" w:cs="Arial"/>
          <w:sz w:val="24"/>
          <w:szCs w:val="24"/>
        </w:rPr>
      </w:pPr>
      <w:hyperlink r:id="rId11" w:history="1">
        <w:r w:rsidR="001219A3" w:rsidRPr="001219A3">
          <w:rPr>
            <w:rStyle w:val="Hyperlink"/>
            <w:rFonts w:ascii="Arial" w:hAnsi="Arial" w:cs="Arial"/>
            <w:sz w:val="24"/>
            <w:szCs w:val="24"/>
          </w:rPr>
          <w:t>http://www.churchillretirement.co.uk/retirement-living-explained/safety-and-security/</w:t>
        </w:r>
      </w:hyperlink>
    </w:p>
    <w:p w:rsidR="0023698E" w:rsidRPr="002A3614" w:rsidRDefault="0023698E" w:rsidP="002A3614">
      <w:pPr>
        <w:pStyle w:val="ListParagraph"/>
        <w:numPr>
          <w:ilvl w:val="0"/>
          <w:numId w:val="8"/>
        </w:numPr>
        <w:rPr>
          <w:rFonts w:ascii="Arial" w:hAnsi="Arial" w:cs="Arial"/>
          <w:b/>
          <w:sz w:val="24"/>
          <w:szCs w:val="24"/>
        </w:rPr>
      </w:pPr>
      <w:r w:rsidRPr="002A3614">
        <w:rPr>
          <w:rFonts w:ascii="Arial" w:hAnsi="Arial" w:cs="Arial"/>
          <w:b/>
          <w:sz w:val="24"/>
          <w:szCs w:val="24"/>
        </w:rPr>
        <w:t>Flats / apartments for sale in Sudbury Nov 2015</w:t>
      </w:r>
    </w:p>
    <w:p w:rsidR="00F93FE7" w:rsidRDefault="009503E8">
      <w:pPr>
        <w:rPr>
          <w:rFonts w:ascii="Arial" w:hAnsi="Arial" w:cs="Arial"/>
          <w:sz w:val="24"/>
          <w:szCs w:val="24"/>
        </w:rPr>
      </w:pPr>
      <w:r w:rsidRPr="001219A3">
        <w:rPr>
          <w:rFonts w:ascii="Arial" w:hAnsi="Arial" w:cs="Arial"/>
          <w:sz w:val="24"/>
          <w:szCs w:val="24"/>
        </w:rPr>
        <w:t>Weavers Court, Sudbury</w:t>
      </w:r>
      <w:r w:rsidR="00271963" w:rsidRPr="001219A3">
        <w:rPr>
          <w:rFonts w:ascii="Arial" w:hAnsi="Arial" w:cs="Arial"/>
          <w:sz w:val="24"/>
          <w:szCs w:val="24"/>
        </w:rPr>
        <w:t xml:space="preserve"> sale price</w:t>
      </w:r>
      <w:r w:rsidRPr="001219A3">
        <w:rPr>
          <w:rFonts w:ascii="Arial" w:hAnsi="Arial" w:cs="Arial"/>
          <w:sz w:val="24"/>
          <w:szCs w:val="24"/>
        </w:rPr>
        <w:t xml:space="preserve"> £140,000 – 2 bed flat </w:t>
      </w:r>
      <w:r w:rsidR="00FA4F9F" w:rsidRPr="001219A3">
        <w:rPr>
          <w:rFonts w:ascii="Arial" w:hAnsi="Arial" w:cs="Arial"/>
          <w:sz w:val="24"/>
          <w:szCs w:val="24"/>
        </w:rPr>
        <w:t>–</w:t>
      </w:r>
      <w:r w:rsidRPr="001219A3">
        <w:rPr>
          <w:rFonts w:ascii="Arial" w:hAnsi="Arial" w:cs="Arial"/>
          <w:sz w:val="24"/>
          <w:szCs w:val="24"/>
        </w:rPr>
        <w:t xml:space="preserve"> </w:t>
      </w:r>
      <w:r w:rsidR="00FA4F9F" w:rsidRPr="001219A3">
        <w:rPr>
          <w:rFonts w:ascii="Arial" w:hAnsi="Arial" w:cs="Arial"/>
          <w:b/>
          <w:sz w:val="24"/>
          <w:szCs w:val="24"/>
        </w:rPr>
        <w:t>over 55 retirement property</w:t>
      </w:r>
      <w:r w:rsidR="00FA4F9F" w:rsidRPr="001219A3">
        <w:rPr>
          <w:rFonts w:ascii="Arial" w:hAnsi="Arial" w:cs="Arial"/>
          <w:sz w:val="24"/>
          <w:szCs w:val="24"/>
        </w:rPr>
        <w:t xml:space="preserve"> – </w:t>
      </w:r>
      <w:proofErr w:type="spellStart"/>
      <w:r w:rsidR="00FA4F9F" w:rsidRPr="001219A3">
        <w:rPr>
          <w:rFonts w:ascii="Arial" w:hAnsi="Arial" w:cs="Arial"/>
          <w:sz w:val="24"/>
          <w:szCs w:val="24"/>
        </w:rPr>
        <w:t>FirstPort</w:t>
      </w:r>
      <w:proofErr w:type="spellEnd"/>
      <w:r w:rsidR="00FA4F9F" w:rsidRPr="001219A3">
        <w:rPr>
          <w:rFonts w:ascii="Arial" w:hAnsi="Arial" w:cs="Arial"/>
          <w:sz w:val="24"/>
          <w:szCs w:val="24"/>
        </w:rPr>
        <w:t xml:space="preserve"> </w:t>
      </w:r>
      <w:r w:rsidR="001219A3" w:rsidRPr="001219A3">
        <w:rPr>
          <w:rFonts w:ascii="Arial" w:hAnsi="Arial" w:cs="Arial"/>
          <w:sz w:val="24"/>
          <w:szCs w:val="24"/>
        </w:rPr>
        <w:t xml:space="preserve">(formerly </w:t>
      </w:r>
      <w:proofErr w:type="spellStart"/>
      <w:r w:rsidR="001219A3" w:rsidRPr="001219A3">
        <w:rPr>
          <w:rFonts w:ascii="Arial" w:hAnsi="Arial" w:cs="Arial"/>
          <w:sz w:val="24"/>
          <w:szCs w:val="24"/>
        </w:rPr>
        <w:t>Peverel</w:t>
      </w:r>
      <w:proofErr w:type="spellEnd"/>
      <w:r w:rsidR="001219A3" w:rsidRPr="001219A3">
        <w:rPr>
          <w:rFonts w:ascii="Arial" w:hAnsi="Arial" w:cs="Arial"/>
          <w:sz w:val="24"/>
          <w:szCs w:val="24"/>
        </w:rPr>
        <w:t xml:space="preserve"> retirement housing) </w:t>
      </w:r>
      <w:r w:rsidR="00FA4F9F" w:rsidRPr="001219A3">
        <w:rPr>
          <w:rFonts w:ascii="Arial" w:hAnsi="Arial" w:cs="Arial"/>
          <w:sz w:val="24"/>
          <w:szCs w:val="24"/>
        </w:rPr>
        <w:t>company</w:t>
      </w:r>
      <w:r w:rsidR="00F22C48" w:rsidRPr="001219A3">
        <w:rPr>
          <w:rFonts w:ascii="Arial" w:hAnsi="Arial" w:cs="Arial"/>
          <w:sz w:val="24"/>
          <w:szCs w:val="24"/>
        </w:rPr>
        <w:t xml:space="preserve"> – long leasehold</w:t>
      </w:r>
      <w:r w:rsidR="00F62ACA">
        <w:rPr>
          <w:rFonts w:ascii="Arial" w:hAnsi="Arial" w:cs="Arial"/>
          <w:sz w:val="24"/>
          <w:szCs w:val="24"/>
        </w:rPr>
        <w:t>.</w:t>
      </w:r>
      <w:r w:rsidR="00542F77">
        <w:rPr>
          <w:rFonts w:ascii="Arial" w:hAnsi="Arial" w:cs="Arial"/>
          <w:sz w:val="24"/>
          <w:szCs w:val="24"/>
        </w:rPr>
        <w:t xml:space="preserve"> This is a standard sheltered housing product.</w:t>
      </w:r>
    </w:p>
    <w:p w:rsidR="00300807" w:rsidRPr="009C40CF" w:rsidRDefault="00300807" w:rsidP="00300807">
      <w:pPr>
        <w:pStyle w:val="ListParagraph"/>
        <w:numPr>
          <w:ilvl w:val="0"/>
          <w:numId w:val="8"/>
        </w:numPr>
        <w:rPr>
          <w:rFonts w:ascii="Arial" w:hAnsi="Arial" w:cs="Arial"/>
          <w:color w:val="C0504D" w:themeColor="accent2"/>
          <w:sz w:val="24"/>
          <w:szCs w:val="24"/>
          <w:u w:val="single"/>
        </w:rPr>
      </w:pPr>
      <w:r w:rsidRPr="00300807">
        <w:rPr>
          <w:rFonts w:ascii="Arial" w:hAnsi="Arial" w:cs="Arial"/>
          <w:b/>
          <w:sz w:val="24"/>
          <w:szCs w:val="24"/>
        </w:rPr>
        <w:t>Other evidence:</w:t>
      </w:r>
      <w:r>
        <w:rPr>
          <w:rFonts w:ascii="Arial" w:hAnsi="Arial" w:cs="Arial"/>
          <w:sz w:val="24"/>
          <w:szCs w:val="24"/>
        </w:rPr>
        <w:t xml:space="preserve">  Demos think tank reports 1 in 4 over 60s would be interested in buying a retirement property.  </w:t>
      </w:r>
      <w:r w:rsidRPr="009C40CF">
        <w:rPr>
          <w:rFonts w:ascii="Arial" w:hAnsi="Arial" w:cs="Arial"/>
          <w:color w:val="C0504D" w:themeColor="accent2"/>
          <w:sz w:val="24"/>
          <w:szCs w:val="24"/>
          <w:u w:val="single"/>
        </w:rPr>
        <w:t xml:space="preserve">However, </w:t>
      </w:r>
      <w:r w:rsidR="009C40CF" w:rsidRPr="009C40CF">
        <w:rPr>
          <w:rFonts w:ascii="Arial" w:hAnsi="Arial" w:cs="Arial"/>
          <w:color w:val="C0504D" w:themeColor="accent2"/>
          <w:sz w:val="24"/>
          <w:szCs w:val="24"/>
          <w:u w:val="single"/>
        </w:rPr>
        <w:t xml:space="preserve">another reports that whilst they think about it, they don’t do it.  Lack of availability </w:t>
      </w:r>
      <w:r w:rsidR="009C40CF">
        <w:rPr>
          <w:rFonts w:ascii="Arial" w:hAnsi="Arial" w:cs="Arial"/>
          <w:color w:val="C0504D" w:themeColor="accent2"/>
          <w:sz w:val="24"/>
          <w:szCs w:val="24"/>
          <w:u w:val="single"/>
        </w:rPr>
        <w:t>i</w:t>
      </w:r>
      <w:r w:rsidR="009C40CF" w:rsidRPr="009C40CF">
        <w:rPr>
          <w:rFonts w:ascii="Arial" w:hAnsi="Arial" w:cs="Arial"/>
          <w:color w:val="C0504D" w:themeColor="accent2"/>
          <w:sz w:val="24"/>
          <w:szCs w:val="24"/>
          <w:u w:val="single"/>
        </w:rPr>
        <w:t>s often cited.  TBC</w:t>
      </w:r>
      <w:r w:rsidRPr="009C40CF">
        <w:rPr>
          <w:rFonts w:ascii="Arial" w:hAnsi="Arial" w:cs="Arial"/>
          <w:color w:val="C0504D" w:themeColor="accent2"/>
          <w:sz w:val="24"/>
          <w:szCs w:val="24"/>
          <w:u w:val="single"/>
        </w:rPr>
        <w:t xml:space="preserve"> </w:t>
      </w:r>
    </w:p>
    <w:p w:rsidR="00F62ACA" w:rsidRPr="00F62ACA" w:rsidRDefault="00F62ACA" w:rsidP="00F62ACA">
      <w:pPr>
        <w:pStyle w:val="ListParagraph"/>
        <w:numPr>
          <w:ilvl w:val="0"/>
          <w:numId w:val="8"/>
        </w:numPr>
        <w:rPr>
          <w:rFonts w:ascii="Arial" w:hAnsi="Arial" w:cs="Arial"/>
          <w:b/>
          <w:sz w:val="24"/>
          <w:szCs w:val="24"/>
        </w:rPr>
      </w:pPr>
      <w:r w:rsidRPr="00F62ACA">
        <w:rPr>
          <w:rFonts w:ascii="Arial" w:hAnsi="Arial" w:cs="Arial"/>
          <w:b/>
          <w:sz w:val="24"/>
          <w:szCs w:val="24"/>
        </w:rPr>
        <w:t>HAPPI 2 design principles</w:t>
      </w:r>
    </w:p>
    <w:p w:rsidR="00F62ACA" w:rsidRPr="001219A3" w:rsidRDefault="00F62ACA" w:rsidP="00F62ACA">
      <w:pPr>
        <w:rPr>
          <w:rFonts w:ascii="Arial" w:hAnsi="Arial" w:cs="Arial"/>
          <w:sz w:val="24"/>
          <w:szCs w:val="24"/>
        </w:rPr>
      </w:pPr>
      <w:r w:rsidRPr="001219A3">
        <w:rPr>
          <w:rFonts w:ascii="Arial" w:hAnsi="Arial" w:cs="Arial"/>
          <w:sz w:val="24"/>
          <w:szCs w:val="24"/>
        </w:rPr>
        <w:t xml:space="preserve">Specific retirement properties are </w:t>
      </w:r>
      <w:r>
        <w:rPr>
          <w:rFonts w:ascii="Arial" w:hAnsi="Arial" w:cs="Arial"/>
          <w:sz w:val="24"/>
          <w:szCs w:val="24"/>
        </w:rPr>
        <w:t xml:space="preserve">generally </w:t>
      </w:r>
      <w:r w:rsidRPr="001219A3">
        <w:rPr>
          <w:rFonts w:ascii="Arial" w:hAnsi="Arial" w:cs="Arial"/>
          <w:sz w:val="24"/>
          <w:szCs w:val="24"/>
        </w:rPr>
        <w:t xml:space="preserve">characterised by </w:t>
      </w:r>
      <w:r>
        <w:rPr>
          <w:rFonts w:ascii="Arial" w:hAnsi="Arial" w:cs="Arial"/>
          <w:sz w:val="24"/>
          <w:szCs w:val="24"/>
        </w:rPr>
        <w:t xml:space="preserve">HAPPI 2 design features (see below) and </w:t>
      </w:r>
      <w:r w:rsidRPr="001219A3">
        <w:rPr>
          <w:rFonts w:ascii="Arial" w:hAnsi="Arial" w:cs="Arial"/>
          <w:sz w:val="24"/>
          <w:szCs w:val="24"/>
        </w:rPr>
        <w:t>shared / organised maintenance of building fabric, window cleaning, gardening, upkeep of whole site.  The 2014 Suffolk Housing Survey provides evidence that many older households are currently looking for properties with smaller gardens and less maintenance.</w:t>
      </w:r>
      <w:bookmarkStart w:id="0" w:name="_GoBack"/>
      <w:bookmarkEnd w:id="0"/>
    </w:p>
    <w:p w:rsidR="00F62ACA" w:rsidRPr="001219A3" w:rsidRDefault="00F62ACA" w:rsidP="00F62ACA">
      <w:pPr>
        <w:rPr>
          <w:rFonts w:ascii="Arial" w:hAnsi="Arial" w:cs="Arial"/>
          <w:sz w:val="24"/>
          <w:szCs w:val="24"/>
        </w:rPr>
      </w:pPr>
      <w:r w:rsidRPr="001219A3">
        <w:rPr>
          <w:rFonts w:ascii="Arial" w:hAnsi="Arial" w:cs="Arial"/>
          <w:sz w:val="24"/>
          <w:szCs w:val="24"/>
        </w:rPr>
        <w:t>The Strategic Housing team would support an application for 2 bed, high quality, and energy efficient apartments and depending on the number being provided, shared-ownership for 1 or 2 should be considered.</w:t>
      </w:r>
    </w:p>
    <w:p w:rsidR="00F62ACA" w:rsidRPr="001219A3" w:rsidRDefault="00F62ACA" w:rsidP="00F62ACA">
      <w:pPr>
        <w:rPr>
          <w:rFonts w:ascii="Arial" w:hAnsi="Arial" w:cs="Arial"/>
          <w:sz w:val="24"/>
          <w:szCs w:val="24"/>
        </w:rPr>
      </w:pPr>
      <w:r w:rsidRPr="001219A3">
        <w:rPr>
          <w:rFonts w:ascii="Arial" w:hAnsi="Arial" w:cs="Arial"/>
          <w:sz w:val="24"/>
          <w:szCs w:val="24"/>
        </w:rPr>
        <w:t>It is essential that any potential developer is aware that we expect new development for this target over 55 groups to include the majority of the HAPPI</w:t>
      </w:r>
      <w:r>
        <w:rPr>
          <w:rFonts w:ascii="Arial" w:hAnsi="Arial" w:cs="Arial"/>
          <w:sz w:val="24"/>
          <w:szCs w:val="24"/>
        </w:rPr>
        <w:t xml:space="preserve"> </w:t>
      </w:r>
      <w:r w:rsidRPr="001219A3">
        <w:rPr>
          <w:rFonts w:ascii="Arial" w:hAnsi="Arial" w:cs="Arial"/>
          <w:sz w:val="24"/>
          <w:szCs w:val="24"/>
        </w:rPr>
        <w:t xml:space="preserve">2 design features, so that housing choices can support people to remain as healthy as possible, for as long as possible and to remain independent : </w:t>
      </w:r>
    </w:p>
    <w:p w:rsidR="00F62ACA" w:rsidRPr="00557FDB" w:rsidRDefault="00F62ACA" w:rsidP="00F62ACA">
      <w:pPr>
        <w:pStyle w:val="ListParagraph"/>
        <w:numPr>
          <w:ilvl w:val="0"/>
          <w:numId w:val="6"/>
        </w:numPr>
        <w:rPr>
          <w:rFonts w:ascii="Arial" w:hAnsi="Arial" w:cs="Arial"/>
        </w:rPr>
      </w:pPr>
      <w:r w:rsidRPr="00557FDB">
        <w:rPr>
          <w:rFonts w:ascii="Arial" w:hAnsi="Arial" w:cs="Arial"/>
        </w:rPr>
        <w:lastRenderedPageBreak/>
        <w:t xml:space="preserve">Generous internal space standards – </w:t>
      </w:r>
      <w:r w:rsidRPr="00557FDB">
        <w:rPr>
          <w:rFonts w:ascii="Arial" w:hAnsi="Arial" w:cs="Arial"/>
          <w:i/>
        </w:rPr>
        <w:t>consider 2 bed, 4 person most popular, and perhaps a small room for home office – many over 55s are business entrepreneurs too</w:t>
      </w:r>
    </w:p>
    <w:p w:rsidR="00F62ACA" w:rsidRPr="00557FDB" w:rsidRDefault="00F62ACA" w:rsidP="00F62ACA">
      <w:pPr>
        <w:pStyle w:val="ListParagraph"/>
        <w:numPr>
          <w:ilvl w:val="0"/>
          <w:numId w:val="6"/>
        </w:numPr>
        <w:rPr>
          <w:rFonts w:ascii="Arial" w:hAnsi="Arial" w:cs="Arial"/>
          <w:i/>
        </w:rPr>
      </w:pPr>
      <w:r w:rsidRPr="00557FDB">
        <w:rPr>
          <w:rFonts w:ascii="Arial" w:hAnsi="Arial" w:cs="Arial"/>
        </w:rPr>
        <w:t xml:space="preserve">Plenty of natural light in the home and in circulation spaces – </w:t>
      </w:r>
      <w:r w:rsidRPr="00557FDB">
        <w:rPr>
          <w:rFonts w:ascii="Arial" w:hAnsi="Arial" w:cs="Arial"/>
          <w:i/>
        </w:rPr>
        <w:t>supports mental well-being and issues associated with dementia, and can prevents slips trips and falls</w:t>
      </w:r>
    </w:p>
    <w:p w:rsidR="00F62ACA" w:rsidRPr="00557FDB" w:rsidRDefault="00F62ACA" w:rsidP="00F62ACA">
      <w:pPr>
        <w:pStyle w:val="ListParagraph"/>
        <w:numPr>
          <w:ilvl w:val="0"/>
          <w:numId w:val="6"/>
        </w:numPr>
        <w:rPr>
          <w:rFonts w:ascii="Arial" w:hAnsi="Arial" w:cs="Arial"/>
          <w:i/>
        </w:rPr>
      </w:pPr>
      <w:r w:rsidRPr="00557FDB">
        <w:rPr>
          <w:rFonts w:ascii="Arial" w:hAnsi="Arial" w:cs="Arial"/>
        </w:rPr>
        <w:t xml:space="preserve">Balconies and outside space, avoiding internal corridors and single-aspect flats – </w:t>
      </w:r>
      <w:r w:rsidRPr="00557FDB">
        <w:rPr>
          <w:rFonts w:ascii="Arial" w:hAnsi="Arial" w:cs="Arial"/>
          <w:i/>
        </w:rPr>
        <w:t>many people will be right sizing to flats / apartments from larger family properties with gardens, and most will have enjoyed garden work and growing food – supports mental well being</w:t>
      </w:r>
    </w:p>
    <w:p w:rsidR="00F62ACA" w:rsidRPr="00557FDB" w:rsidRDefault="00F62ACA" w:rsidP="00F62ACA">
      <w:pPr>
        <w:pStyle w:val="ListParagraph"/>
        <w:numPr>
          <w:ilvl w:val="0"/>
          <w:numId w:val="6"/>
        </w:numPr>
        <w:rPr>
          <w:rFonts w:ascii="Arial" w:hAnsi="Arial" w:cs="Arial"/>
        </w:rPr>
      </w:pPr>
      <w:r w:rsidRPr="00557FDB">
        <w:rPr>
          <w:rFonts w:ascii="Arial" w:hAnsi="Arial" w:cs="Arial"/>
        </w:rPr>
        <w:t>Adaptability and care aware design which is ready for emerging telecare and telecare health technologies</w:t>
      </w:r>
    </w:p>
    <w:p w:rsidR="00F62ACA" w:rsidRPr="00557FDB" w:rsidRDefault="00F62ACA" w:rsidP="00F62ACA">
      <w:pPr>
        <w:pStyle w:val="ListParagraph"/>
        <w:numPr>
          <w:ilvl w:val="0"/>
          <w:numId w:val="6"/>
        </w:numPr>
        <w:rPr>
          <w:rFonts w:ascii="Arial" w:hAnsi="Arial" w:cs="Arial"/>
          <w:i/>
        </w:rPr>
      </w:pPr>
      <w:r w:rsidRPr="00557FDB">
        <w:rPr>
          <w:rFonts w:ascii="Arial" w:hAnsi="Arial" w:cs="Arial"/>
        </w:rPr>
        <w:t xml:space="preserve">Circulation spaces that encourage interaction and avoid an institutional feel – </w:t>
      </w:r>
      <w:r w:rsidRPr="00557FDB">
        <w:rPr>
          <w:rFonts w:ascii="Arial" w:hAnsi="Arial" w:cs="Arial"/>
          <w:i/>
        </w:rPr>
        <w:t>prevents loneliness, a bigger killer than smoking in this age group</w:t>
      </w:r>
    </w:p>
    <w:p w:rsidR="00F62ACA" w:rsidRPr="00557FDB" w:rsidRDefault="00F62ACA" w:rsidP="00F62ACA">
      <w:pPr>
        <w:pStyle w:val="ListParagraph"/>
        <w:numPr>
          <w:ilvl w:val="0"/>
          <w:numId w:val="6"/>
        </w:numPr>
        <w:rPr>
          <w:rFonts w:ascii="Arial" w:hAnsi="Arial" w:cs="Arial"/>
        </w:rPr>
      </w:pPr>
      <w:r w:rsidRPr="00557FDB">
        <w:rPr>
          <w:rFonts w:ascii="Arial" w:hAnsi="Arial" w:cs="Arial"/>
        </w:rPr>
        <w:t xml:space="preserve">Shared facilities and community hubs where these are lacking in the neighbourhood – for example </w:t>
      </w:r>
    </w:p>
    <w:p w:rsidR="00F62ACA" w:rsidRPr="00557FDB" w:rsidRDefault="00F62ACA" w:rsidP="00F62ACA">
      <w:pPr>
        <w:pStyle w:val="ListParagraph"/>
        <w:numPr>
          <w:ilvl w:val="0"/>
          <w:numId w:val="6"/>
        </w:numPr>
        <w:rPr>
          <w:rFonts w:ascii="Arial" w:hAnsi="Arial" w:cs="Arial"/>
          <w:i/>
        </w:rPr>
      </w:pPr>
      <w:r w:rsidRPr="00557FDB">
        <w:rPr>
          <w:rFonts w:ascii="Arial" w:hAnsi="Arial" w:cs="Arial"/>
        </w:rPr>
        <w:t xml:space="preserve">Plants, trees and the natural environment - </w:t>
      </w:r>
      <w:r w:rsidRPr="00557FDB">
        <w:rPr>
          <w:rFonts w:ascii="Arial" w:hAnsi="Arial" w:cs="Arial"/>
          <w:i/>
        </w:rPr>
        <w:t>are able to be seen, and accessible within 10 mins walk</w:t>
      </w:r>
    </w:p>
    <w:p w:rsidR="00F62ACA" w:rsidRPr="00557FDB" w:rsidRDefault="00F62ACA" w:rsidP="00F62ACA">
      <w:pPr>
        <w:pStyle w:val="ListParagraph"/>
        <w:numPr>
          <w:ilvl w:val="0"/>
          <w:numId w:val="6"/>
        </w:numPr>
        <w:rPr>
          <w:rFonts w:ascii="Arial" w:hAnsi="Arial" w:cs="Arial"/>
          <w:i/>
        </w:rPr>
      </w:pPr>
      <w:r w:rsidRPr="00557FDB">
        <w:rPr>
          <w:rFonts w:ascii="Arial" w:hAnsi="Arial" w:cs="Arial"/>
        </w:rPr>
        <w:t xml:space="preserve">High levels of energy efficiency, with good ventilation to avoid overheating – </w:t>
      </w:r>
      <w:r w:rsidRPr="00557FDB">
        <w:rPr>
          <w:rFonts w:ascii="Arial" w:hAnsi="Arial" w:cs="Arial"/>
          <w:i/>
        </w:rPr>
        <w:t>with reference long term issues of fuel affordability, over 70s require warmer homes to support good health, national ‘Heatwave’ strategy (LAs have a duty to cooperate and lead)</w:t>
      </w:r>
    </w:p>
    <w:p w:rsidR="00F62ACA" w:rsidRPr="00557FDB" w:rsidRDefault="00F62ACA" w:rsidP="00F62ACA">
      <w:pPr>
        <w:pStyle w:val="ListParagraph"/>
        <w:numPr>
          <w:ilvl w:val="0"/>
          <w:numId w:val="6"/>
        </w:numPr>
        <w:rPr>
          <w:rFonts w:ascii="Arial" w:hAnsi="Arial" w:cs="Arial"/>
        </w:rPr>
      </w:pPr>
      <w:r w:rsidRPr="00557FDB">
        <w:rPr>
          <w:rFonts w:ascii="Arial" w:hAnsi="Arial" w:cs="Arial"/>
        </w:rPr>
        <w:t xml:space="preserve">Extra storage for belongings and bicycles </w:t>
      </w:r>
      <w:r w:rsidRPr="00557FDB">
        <w:rPr>
          <w:rFonts w:ascii="Arial" w:hAnsi="Arial" w:cs="Arial"/>
          <w:i/>
        </w:rPr>
        <w:t>and motorised scooters with charging points, plus off road parking.  For under 70s consider 2 spaces per apartment</w:t>
      </w:r>
    </w:p>
    <w:p w:rsidR="00F62ACA" w:rsidRPr="00557FDB" w:rsidRDefault="00F62ACA" w:rsidP="00F62ACA">
      <w:pPr>
        <w:pStyle w:val="ListParagraph"/>
        <w:numPr>
          <w:ilvl w:val="0"/>
          <w:numId w:val="6"/>
        </w:numPr>
        <w:rPr>
          <w:rFonts w:ascii="Arial" w:hAnsi="Arial" w:cs="Arial"/>
        </w:rPr>
      </w:pPr>
      <w:r w:rsidRPr="00557FDB">
        <w:rPr>
          <w:rFonts w:ascii="Arial" w:hAnsi="Arial" w:cs="Arial"/>
          <w:i/>
        </w:rPr>
        <w:t>Shared external areas such as ‘home zones’ that give priority to pedestrians</w:t>
      </w:r>
    </w:p>
    <w:p w:rsidR="00F62ACA" w:rsidRPr="00557FDB" w:rsidRDefault="00F62ACA" w:rsidP="00F62ACA">
      <w:pPr>
        <w:rPr>
          <w:rFonts w:ascii="Arial" w:hAnsi="Arial" w:cs="Arial"/>
        </w:rPr>
      </w:pPr>
      <w:r w:rsidRPr="00557FDB">
        <w:rPr>
          <w:rFonts w:ascii="Arial" w:hAnsi="Arial" w:cs="Arial"/>
        </w:rPr>
        <w:t>Where all features cannot be accommodated, please request the developer to instigate early discussions with this team to discuss the relevant issues.</w:t>
      </w:r>
    </w:p>
    <w:p w:rsidR="00F62ACA" w:rsidRPr="00557FDB" w:rsidRDefault="00F62ACA" w:rsidP="00F62ACA">
      <w:pPr>
        <w:rPr>
          <w:rFonts w:ascii="Arial" w:hAnsi="Arial" w:cs="Arial"/>
        </w:rPr>
      </w:pPr>
      <w:r w:rsidRPr="00557FDB">
        <w:rPr>
          <w:rFonts w:ascii="Arial" w:hAnsi="Arial" w:cs="Arial"/>
          <w:b/>
        </w:rPr>
        <w:t>Safety issues:</w:t>
      </w:r>
      <w:r w:rsidRPr="00557FDB">
        <w:rPr>
          <w:rFonts w:ascii="Arial" w:hAnsi="Arial" w:cs="Arial"/>
        </w:rPr>
        <w:t xml:space="preserve">  Safe by Design standard is preferred as older households often express concerns about security and safety outside of the home.</w:t>
      </w:r>
    </w:p>
    <w:p w:rsidR="002A3614" w:rsidRDefault="0023698E">
      <w:pPr>
        <w:rPr>
          <w:rFonts w:ascii="Arial" w:hAnsi="Arial" w:cs="Arial"/>
          <w:b/>
          <w:sz w:val="24"/>
          <w:szCs w:val="24"/>
        </w:rPr>
      </w:pPr>
      <w:r w:rsidRPr="001219A3">
        <w:rPr>
          <w:rFonts w:ascii="Arial" w:hAnsi="Arial" w:cs="Arial"/>
          <w:b/>
          <w:sz w:val="24"/>
          <w:szCs w:val="24"/>
        </w:rPr>
        <w:t>Summary:</w:t>
      </w:r>
    </w:p>
    <w:p w:rsidR="00985FF9" w:rsidRDefault="0023698E">
      <w:pPr>
        <w:rPr>
          <w:rFonts w:ascii="Arial" w:hAnsi="Arial" w:cs="Arial"/>
          <w:sz w:val="24"/>
          <w:szCs w:val="24"/>
        </w:rPr>
      </w:pPr>
      <w:r w:rsidRPr="001219A3">
        <w:rPr>
          <w:rFonts w:ascii="Arial" w:hAnsi="Arial" w:cs="Arial"/>
          <w:sz w:val="24"/>
          <w:szCs w:val="24"/>
        </w:rPr>
        <w:t xml:space="preserve">Combining all the above factors there is scope for </w:t>
      </w:r>
      <w:r w:rsidR="00C4144A" w:rsidRPr="001219A3">
        <w:rPr>
          <w:rFonts w:ascii="Arial" w:hAnsi="Arial" w:cs="Arial"/>
          <w:sz w:val="24"/>
          <w:szCs w:val="24"/>
        </w:rPr>
        <w:t>the market to absorb</w:t>
      </w:r>
      <w:r w:rsidR="002A3614">
        <w:rPr>
          <w:rFonts w:ascii="Arial" w:hAnsi="Arial" w:cs="Arial"/>
          <w:sz w:val="24"/>
          <w:szCs w:val="24"/>
        </w:rPr>
        <w:t>,</w:t>
      </w:r>
      <w:r w:rsidR="00C4144A" w:rsidRPr="001219A3">
        <w:rPr>
          <w:rFonts w:ascii="Arial" w:hAnsi="Arial" w:cs="Arial"/>
          <w:sz w:val="24"/>
          <w:szCs w:val="24"/>
        </w:rPr>
        <w:t xml:space="preserve"> </w:t>
      </w:r>
      <w:r w:rsidR="002A3614">
        <w:rPr>
          <w:rFonts w:ascii="Arial" w:hAnsi="Arial" w:cs="Arial"/>
          <w:sz w:val="24"/>
          <w:szCs w:val="24"/>
        </w:rPr>
        <w:t xml:space="preserve">without adverse impact, </w:t>
      </w:r>
      <w:r w:rsidRPr="001219A3">
        <w:rPr>
          <w:rFonts w:ascii="Arial" w:hAnsi="Arial" w:cs="Arial"/>
          <w:sz w:val="24"/>
          <w:szCs w:val="24"/>
        </w:rPr>
        <w:t>additional 2-bed, accessible, over 55 apartment style, open-market housing in Sudbury.</w:t>
      </w:r>
      <w:r w:rsidR="008D0FAB" w:rsidRPr="001219A3">
        <w:rPr>
          <w:rFonts w:ascii="Arial" w:hAnsi="Arial" w:cs="Arial"/>
          <w:sz w:val="24"/>
          <w:szCs w:val="24"/>
        </w:rPr>
        <w:t xml:space="preserve">  </w:t>
      </w:r>
      <w:r w:rsidR="00F22C48" w:rsidRPr="001219A3">
        <w:rPr>
          <w:rFonts w:ascii="Arial" w:hAnsi="Arial" w:cs="Arial"/>
          <w:sz w:val="24"/>
          <w:szCs w:val="24"/>
        </w:rPr>
        <w:t xml:space="preserve">There appears to be a lack </w:t>
      </w:r>
      <w:r w:rsidR="002A3614">
        <w:rPr>
          <w:rFonts w:ascii="Arial" w:hAnsi="Arial" w:cs="Arial"/>
          <w:sz w:val="24"/>
          <w:szCs w:val="24"/>
        </w:rPr>
        <w:t xml:space="preserve">/ under supply </w:t>
      </w:r>
      <w:r w:rsidR="00F22C48" w:rsidRPr="001219A3">
        <w:rPr>
          <w:rFonts w:ascii="Arial" w:hAnsi="Arial" w:cs="Arial"/>
          <w:sz w:val="24"/>
          <w:szCs w:val="24"/>
        </w:rPr>
        <w:t>of open market (long leasehold)</w:t>
      </w:r>
      <w:r w:rsidR="00985FF9" w:rsidRPr="001219A3">
        <w:rPr>
          <w:rFonts w:ascii="Arial" w:hAnsi="Arial" w:cs="Arial"/>
          <w:sz w:val="24"/>
          <w:szCs w:val="24"/>
        </w:rPr>
        <w:t xml:space="preserve"> age exclusive, </w:t>
      </w:r>
      <w:r w:rsidR="00F22C48" w:rsidRPr="001219A3">
        <w:rPr>
          <w:rFonts w:ascii="Arial" w:hAnsi="Arial" w:cs="Arial"/>
          <w:sz w:val="24"/>
          <w:szCs w:val="24"/>
        </w:rPr>
        <w:t xml:space="preserve">over 55/ retirement apartments </w:t>
      </w:r>
      <w:r w:rsidR="00271963" w:rsidRPr="001219A3">
        <w:rPr>
          <w:rFonts w:ascii="Arial" w:hAnsi="Arial" w:cs="Arial"/>
          <w:sz w:val="24"/>
          <w:szCs w:val="24"/>
        </w:rPr>
        <w:t>(using EAC website and Zoopla</w:t>
      </w:r>
      <w:r w:rsidR="002A3614">
        <w:rPr>
          <w:rFonts w:ascii="Arial" w:hAnsi="Arial" w:cs="Arial"/>
          <w:sz w:val="24"/>
          <w:szCs w:val="24"/>
        </w:rPr>
        <w:t xml:space="preserve"> evidence</w:t>
      </w:r>
      <w:r w:rsidR="00271963" w:rsidRPr="001219A3">
        <w:rPr>
          <w:rFonts w:ascii="Arial" w:hAnsi="Arial" w:cs="Arial"/>
          <w:sz w:val="24"/>
          <w:szCs w:val="24"/>
        </w:rPr>
        <w:t xml:space="preserve">) </w:t>
      </w:r>
      <w:r w:rsidR="00F22C48" w:rsidRPr="001219A3">
        <w:rPr>
          <w:rFonts w:ascii="Arial" w:hAnsi="Arial" w:cs="Arial"/>
          <w:sz w:val="24"/>
          <w:szCs w:val="24"/>
        </w:rPr>
        <w:t>within the current housing stock</w:t>
      </w:r>
      <w:r w:rsidR="00985FF9" w:rsidRPr="001219A3">
        <w:rPr>
          <w:rFonts w:ascii="Arial" w:hAnsi="Arial" w:cs="Arial"/>
          <w:sz w:val="24"/>
          <w:szCs w:val="24"/>
        </w:rPr>
        <w:t xml:space="preserve"> of 1013 flats /apartments.  </w:t>
      </w:r>
      <w:r w:rsidR="00B4461D">
        <w:rPr>
          <w:rFonts w:ascii="Arial" w:hAnsi="Arial" w:cs="Arial"/>
          <w:sz w:val="24"/>
          <w:szCs w:val="24"/>
        </w:rPr>
        <w:t>It is perceived that if Belle Vue were developed for over 55s housing there would be a positive benefit to the local housing market.</w:t>
      </w:r>
      <w:r w:rsidR="00756B49">
        <w:rPr>
          <w:rFonts w:ascii="Arial" w:hAnsi="Arial" w:cs="Arial"/>
          <w:sz w:val="24"/>
          <w:szCs w:val="24"/>
        </w:rPr>
        <w:t xml:space="preserve">  It will also bring £XXX in to the local economy and XXX in new council tax and New Homes Bonus.</w:t>
      </w:r>
    </w:p>
    <w:p w:rsidR="002A3614" w:rsidRDefault="00C3122B">
      <w:pPr>
        <w:rPr>
          <w:rFonts w:ascii="Arial" w:hAnsi="Arial" w:cs="Arial"/>
          <w:sz w:val="24"/>
          <w:szCs w:val="24"/>
        </w:rPr>
      </w:pPr>
      <w:r w:rsidRPr="00C3122B">
        <w:rPr>
          <w:rFonts w:ascii="Arial" w:hAnsi="Arial" w:cs="Arial"/>
          <w:sz w:val="24"/>
          <w:szCs w:val="24"/>
        </w:rPr>
        <w:t xml:space="preserve">Council’s strategic </w:t>
      </w:r>
      <w:r w:rsidR="00B4461D">
        <w:rPr>
          <w:rFonts w:ascii="Arial" w:hAnsi="Arial" w:cs="Arial"/>
          <w:sz w:val="24"/>
          <w:szCs w:val="24"/>
        </w:rPr>
        <w:t xml:space="preserve">housing </w:t>
      </w:r>
      <w:r w:rsidRPr="00C3122B">
        <w:rPr>
          <w:rFonts w:ascii="Arial" w:hAnsi="Arial" w:cs="Arial"/>
          <w:sz w:val="24"/>
          <w:szCs w:val="24"/>
        </w:rPr>
        <w:t>priorit</w:t>
      </w:r>
      <w:r w:rsidR="00B4461D">
        <w:rPr>
          <w:rFonts w:ascii="Arial" w:hAnsi="Arial" w:cs="Arial"/>
          <w:sz w:val="24"/>
          <w:szCs w:val="24"/>
        </w:rPr>
        <w:t>y outcomes state that success would mean that there is more choice in the local housing market.  The Strategic Housing team has an agreed remit to work to increase the range of housing options for the over 55s.</w:t>
      </w:r>
      <w:r w:rsidR="00756B49">
        <w:rPr>
          <w:rFonts w:ascii="Arial" w:hAnsi="Arial" w:cs="Arial"/>
          <w:sz w:val="24"/>
          <w:szCs w:val="24"/>
        </w:rPr>
        <w:t xml:space="preserve">  </w:t>
      </w:r>
    </w:p>
    <w:p w:rsidR="00B4461D" w:rsidRPr="00C3122B" w:rsidRDefault="00B4461D">
      <w:pPr>
        <w:rPr>
          <w:rFonts w:ascii="Arial" w:hAnsi="Arial" w:cs="Arial"/>
          <w:sz w:val="24"/>
          <w:szCs w:val="24"/>
        </w:rPr>
      </w:pPr>
    </w:p>
    <w:sectPr w:rsidR="00B4461D" w:rsidRPr="00C3122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6A9" w:rsidRDefault="008726A9" w:rsidP="008726A9">
      <w:pPr>
        <w:spacing w:after="0" w:line="240" w:lineRule="auto"/>
      </w:pPr>
      <w:r>
        <w:separator/>
      </w:r>
    </w:p>
  </w:endnote>
  <w:endnote w:type="continuationSeparator" w:id="0">
    <w:p w:rsidR="008726A9" w:rsidRDefault="008726A9" w:rsidP="0087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694711"/>
      <w:docPartObj>
        <w:docPartGallery w:val="Page Numbers (Bottom of Page)"/>
        <w:docPartUnique/>
      </w:docPartObj>
    </w:sdtPr>
    <w:sdtEndPr/>
    <w:sdtContent>
      <w:sdt>
        <w:sdtPr>
          <w:id w:val="98381352"/>
          <w:docPartObj>
            <w:docPartGallery w:val="Page Numbers (Top of Page)"/>
            <w:docPartUnique/>
          </w:docPartObj>
        </w:sdtPr>
        <w:sdtEndPr/>
        <w:sdtContent>
          <w:p w:rsidR="008726A9" w:rsidRDefault="008726A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9303B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03B0">
              <w:rPr>
                <w:b/>
                <w:bCs/>
                <w:noProof/>
              </w:rPr>
              <w:t>4</w:t>
            </w:r>
            <w:r>
              <w:rPr>
                <w:b/>
                <w:bCs/>
                <w:sz w:val="24"/>
                <w:szCs w:val="24"/>
              </w:rPr>
              <w:fldChar w:fldCharType="end"/>
            </w:r>
          </w:p>
        </w:sdtContent>
      </w:sdt>
    </w:sdtContent>
  </w:sdt>
  <w:p w:rsidR="008726A9" w:rsidRDefault="00872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6A9" w:rsidRDefault="008726A9" w:rsidP="008726A9">
      <w:pPr>
        <w:spacing w:after="0" w:line="240" w:lineRule="auto"/>
      </w:pPr>
      <w:r>
        <w:separator/>
      </w:r>
    </w:p>
  </w:footnote>
  <w:footnote w:type="continuationSeparator" w:id="0">
    <w:p w:rsidR="008726A9" w:rsidRDefault="008726A9" w:rsidP="008726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6A9" w:rsidRDefault="008726A9" w:rsidP="009503E8">
    <w:pPr>
      <w:pStyle w:val="Header"/>
      <w:jc w:val="center"/>
    </w:pPr>
    <w:r>
      <w:t>Sudbury housing market assessment – Nov 2015</w:t>
    </w:r>
  </w:p>
  <w:p w:rsidR="008726A9" w:rsidRDefault="008726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52AC"/>
    <w:multiLevelType w:val="hybridMultilevel"/>
    <w:tmpl w:val="9296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EF650A"/>
    <w:multiLevelType w:val="hybridMultilevel"/>
    <w:tmpl w:val="0AA60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8361DA"/>
    <w:multiLevelType w:val="hybridMultilevel"/>
    <w:tmpl w:val="5DF2A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E17BFC"/>
    <w:multiLevelType w:val="hybridMultilevel"/>
    <w:tmpl w:val="9B8A8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593910"/>
    <w:multiLevelType w:val="hybridMultilevel"/>
    <w:tmpl w:val="D8A0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10017E"/>
    <w:multiLevelType w:val="hybridMultilevel"/>
    <w:tmpl w:val="CD82A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EB6B18"/>
    <w:multiLevelType w:val="hybridMultilevel"/>
    <w:tmpl w:val="B1A0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2D829E9"/>
    <w:multiLevelType w:val="hybridMultilevel"/>
    <w:tmpl w:val="8B665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3"/>
  </w:num>
  <w:num w:numId="5">
    <w:abstractNumId w:val="1"/>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3E4"/>
    <w:rsid w:val="00050EFE"/>
    <w:rsid w:val="000A78E6"/>
    <w:rsid w:val="001219A3"/>
    <w:rsid w:val="00195CD8"/>
    <w:rsid w:val="0023698E"/>
    <w:rsid w:val="00271963"/>
    <w:rsid w:val="002A3614"/>
    <w:rsid w:val="00300807"/>
    <w:rsid w:val="00481857"/>
    <w:rsid w:val="00542F77"/>
    <w:rsid w:val="00557FDB"/>
    <w:rsid w:val="006B0C65"/>
    <w:rsid w:val="006F72DB"/>
    <w:rsid w:val="00756B49"/>
    <w:rsid w:val="008726A9"/>
    <w:rsid w:val="008D0FAB"/>
    <w:rsid w:val="009303B0"/>
    <w:rsid w:val="009503E8"/>
    <w:rsid w:val="00985FF9"/>
    <w:rsid w:val="009C40CF"/>
    <w:rsid w:val="009F0766"/>
    <w:rsid w:val="00B27C96"/>
    <w:rsid w:val="00B4461D"/>
    <w:rsid w:val="00B779C4"/>
    <w:rsid w:val="00C3122B"/>
    <w:rsid w:val="00C342DB"/>
    <w:rsid w:val="00C4144A"/>
    <w:rsid w:val="00D503E4"/>
    <w:rsid w:val="00DD301A"/>
    <w:rsid w:val="00E66406"/>
    <w:rsid w:val="00EE284A"/>
    <w:rsid w:val="00F22C48"/>
    <w:rsid w:val="00F62ACA"/>
    <w:rsid w:val="00F8177A"/>
    <w:rsid w:val="00F93FE7"/>
    <w:rsid w:val="00FA4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0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3E4"/>
    <w:rPr>
      <w:rFonts w:ascii="Tahoma" w:hAnsi="Tahoma" w:cs="Tahoma"/>
      <w:sz w:val="16"/>
      <w:szCs w:val="16"/>
    </w:rPr>
  </w:style>
  <w:style w:type="paragraph" w:styleId="Header">
    <w:name w:val="header"/>
    <w:basedOn w:val="Normal"/>
    <w:link w:val="HeaderChar"/>
    <w:uiPriority w:val="99"/>
    <w:unhideWhenUsed/>
    <w:rsid w:val="00872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6A9"/>
  </w:style>
  <w:style w:type="paragraph" w:styleId="Footer">
    <w:name w:val="footer"/>
    <w:basedOn w:val="Normal"/>
    <w:link w:val="FooterChar"/>
    <w:uiPriority w:val="99"/>
    <w:unhideWhenUsed/>
    <w:rsid w:val="00872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6A9"/>
  </w:style>
  <w:style w:type="character" w:styleId="Hyperlink">
    <w:name w:val="Hyperlink"/>
    <w:basedOn w:val="DefaultParagraphFont"/>
    <w:uiPriority w:val="99"/>
    <w:unhideWhenUsed/>
    <w:rsid w:val="00F8177A"/>
    <w:rPr>
      <w:color w:val="0000FF" w:themeColor="hyperlink"/>
      <w:u w:val="single"/>
    </w:rPr>
  </w:style>
  <w:style w:type="paragraph" w:styleId="ListParagraph">
    <w:name w:val="List Paragraph"/>
    <w:basedOn w:val="Normal"/>
    <w:uiPriority w:val="34"/>
    <w:qFormat/>
    <w:rsid w:val="00C342DB"/>
    <w:pPr>
      <w:ind w:left="720"/>
      <w:contextualSpacing/>
    </w:pPr>
  </w:style>
  <w:style w:type="character" w:styleId="FollowedHyperlink">
    <w:name w:val="FollowedHyperlink"/>
    <w:basedOn w:val="DefaultParagraphFont"/>
    <w:uiPriority w:val="99"/>
    <w:semiHidden/>
    <w:unhideWhenUsed/>
    <w:rsid w:val="00542F7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0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3E4"/>
    <w:rPr>
      <w:rFonts w:ascii="Tahoma" w:hAnsi="Tahoma" w:cs="Tahoma"/>
      <w:sz w:val="16"/>
      <w:szCs w:val="16"/>
    </w:rPr>
  </w:style>
  <w:style w:type="paragraph" w:styleId="Header">
    <w:name w:val="header"/>
    <w:basedOn w:val="Normal"/>
    <w:link w:val="HeaderChar"/>
    <w:uiPriority w:val="99"/>
    <w:unhideWhenUsed/>
    <w:rsid w:val="00872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6A9"/>
  </w:style>
  <w:style w:type="paragraph" w:styleId="Footer">
    <w:name w:val="footer"/>
    <w:basedOn w:val="Normal"/>
    <w:link w:val="FooterChar"/>
    <w:uiPriority w:val="99"/>
    <w:unhideWhenUsed/>
    <w:rsid w:val="00872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6A9"/>
  </w:style>
  <w:style w:type="character" w:styleId="Hyperlink">
    <w:name w:val="Hyperlink"/>
    <w:basedOn w:val="DefaultParagraphFont"/>
    <w:uiPriority w:val="99"/>
    <w:unhideWhenUsed/>
    <w:rsid w:val="00F8177A"/>
    <w:rPr>
      <w:color w:val="0000FF" w:themeColor="hyperlink"/>
      <w:u w:val="single"/>
    </w:rPr>
  </w:style>
  <w:style w:type="paragraph" w:styleId="ListParagraph">
    <w:name w:val="List Paragraph"/>
    <w:basedOn w:val="Normal"/>
    <w:uiPriority w:val="34"/>
    <w:qFormat/>
    <w:rsid w:val="00C342DB"/>
    <w:pPr>
      <w:ind w:left="720"/>
      <w:contextualSpacing/>
    </w:pPr>
  </w:style>
  <w:style w:type="character" w:styleId="FollowedHyperlink">
    <w:name w:val="FollowedHyperlink"/>
    <w:basedOn w:val="DefaultParagraphFont"/>
    <w:uiPriority w:val="99"/>
    <w:semiHidden/>
    <w:unhideWhenUsed/>
    <w:rsid w:val="00542F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22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urchillretirement.co.uk/retirement-living-explained/safety-and-securit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dburyhive.org/connect-sudbury/frequently-asked-questions/" TargetMode="External"/><Relationship Id="rId4" Type="http://schemas.microsoft.com/office/2007/relationships/stylesWithEffects" Target="stylesWithEffects.xml"/><Relationship Id="rId9" Type="http://schemas.openxmlformats.org/officeDocument/2006/relationships/hyperlink" Target="http://www.bellway.co.uk/new-homes/essex/harp-meado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C135E-BCFF-439B-9CFA-AB0E100BF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1284</Words>
  <Characters>7320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Cook</dc:creator>
  <cp:lastModifiedBy>Julie Abbey-Taylor</cp:lastModifiedBy>
  <cp:revision>2</cp:revision>
  <dcterms:created xsi:type="dcterms:W3CDTF">2015-12-01T14:03:00Z</dcterms:created>
  <dcterms:modified xsi:type="dcterms:W3CDTF">2015-12-01T14:03:00Z</dcterms:modified>
</cp:coreProperties>
</file>